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6C" w:rsidRPr="007804F5" w:rsidRDefault="00046E6C" w:rsidP="007804F5">
      <w:pPr>
        <w:spacing w:after="0"/>
        <w:jc w:val="center"/>
        <w:rPr>
          <w:rFonts w:asciiTheme="majorBidi" w:hAnsiTheme="majorBidi" w:cstheme="majorBidi"/>
          <w:b/>
          <w:bCs/>
          <w:sz w:val="24"/>
          <w:szCs w:val="24"/>
          <w:lang w:val="en-US"/>
        </w:rPr>
      </w:pPr>
      <w:r w:rsidRPr="007804F5">
        <w:rPr>
          <w:rFonts w:asciiTheme="majorBidi" w:hAnsiTheme="majorBidi" w:cstheme="majorBidi"/>
          <w:b/>
          <w:bCs/>
          <w:sz w:val="24"/>
          <w:szCs w:val="24"/>
          <w:lang w:val="en-US"/>
        </w:rPr>
        <w:t>Service Contracts Vs Production Sharing Contracts Revisited</w:t>
      </w:r>
    </w:p>
    <w:p w:rsidR="0075617A" w:rsidRDefault="0075617A" w:rsidP="0075617A">
      <w:pPr>
        <w:spacing w:after="0"/>
        <w:jc w:val="center"/>
        <w:rPr>
          <w:rFonts w:asciiTheme="majorBidi" w:hAnsiTheme="majorBidi" w:cstheme="majorBidi"/>
          <w:sz w:val="24"/>
          <w:szCs w:val="24"/>
          <w:lang w:val="en-US"/>
        </w:rPr>
      </w:pPr>
      <w:r w:rsidRPr="0075617A">
        <w:rPr>
          <w:rFonts w:asciiTheme="majorBidi" w:hAnsiTheme="majorBidi" w:cstheme="majorBidi"/>
          <w:sz w:val="24"/>
          <w:szCs w:val="24"/>
          <w:lang w:val="en-US"/>
        </w:rPr>
        <w:t>Ahmed Mousa Jiyad</w:t>
      </w:r>
    </w:p>
    <w:p w:rsidR="0075617A" w:rsidRDefault="0075617A" w:rsidP="0075617A">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Iraq/Development Consultancy &amp; Research</w:t>
      </w:r>
    </w:p>
    <w:p w:rsidR="0075617A" w:rsidRDefault="0075617A" w:rsidP="0075617A">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Norway</w:t>
      </w:r>
    </w:p>
    <w:p w:rsidR="0075617A" w:rsidRDefault="0075617A" w:rsidP="0075617A">
      <w:pPr>
        <w:spacing w:after="0"/>
        <w:jc w:val="center"/>
        <w:rPr>
          <w:rFonts w:asciiTheme="majorBidi" w:hAnsiTheme="majorBidi" w:cstheme="majorBidi"/>
          <w:sz w:val="24"/>
          <w:szCs w:val="24"/>
          <w:lang w:val="en-US"/>
        </w:rPr>
      </w:pPr>
      <w:hyperlink r:id="rId9" w:history="1">
        <w:r w:rsidRPr="004934E3">
          <w:rPr>
            <w:rStyle w:val="Hyperlink"/>
            <w:rFonts w:asciiTheme="majorBidi" w:hAnsiTheme="majorBidi" w:cstheme="majorBidi"/>
            <w:sz w:val="24"/>
            <w:szCs w:val="24"/>
            <w:lang w:val="en-US"/>
          </w:rPr>
          <w:t>Mou-jiya@online.no</w:t>
        </w:r>
      </w:hyperlink>
    </w:p>
    <w:p w:rsidR="0075617A" w:rsidRDefault="0075617A" w:rsidP="0075617A">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75617A" w:rsidRPr="00AE0B09" w:rsidRDefault="00C1323B" w:rsidP="007804F5">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5617A" w:rsidRPr="00AE0B09">
        <w:rPr>
          <w:rFonts w:asciiTheme="majorBidi" w:hAnsiTheme="majorBidi" w:cstheme="majorBidi"/>
          <w:sz w:val="24"/>
          <w:szCs w:val="24"/>
          <w:lang w:val="en-US"/>
        </w:rPr>
        <w:t>Debat</w:t>
      </w:r>
      <w:r w:rsidR="007804F5">
        <w:rPr>
          <w:rFonts w:asciiTheme="majorBidi" w:hAnsiTheme="majorBidi" w:cstheme="majorBidi"/>
          <w:sz w:val="24"/>
          <w:szCs w:val="24"/>
          <w:lang w:val="en-US"/>
        </w:rPr>
        <w:t xml:space="preserve">ing </w:t>
      </w:r>
      <w:r w:rsidR="0075617A" w:rsidRPr="00AE0B09">
        <w:rPr>
          <w:rFonts w:asciiTheme="majorBidi" w:hAnsiTheme="majorBidi" w:cstheme="majorBidi"/>
          <w:sz w:val="24"/>
          <w:szCs w:val="24"/>
          <w:lang w:val="en-US"/>
        </w:rPr>
        <w:t xml:space="preserve">the performance of the service contracts and viability of production sharing contracts </w:t>
      </w:r>
      <w:r w:rsidR="00682D1F" w:rsidRPr="00AE0B09">
        <w:rPr>
          <w:rFonts w:asciiTheme="majorBidi" w:hAnsiTheme="majorBidi" w:cstheme="majorBidi"/>
          <w:sz w:val="24"/>
          <w:szCs w:val="24"/>
          <w:lang w:val="en-US"/>
        </w:rPr>
        <w:t xml:space="preserve">as alternative </w:t>
      </w:r>
      <w:r w:rsidR="0075617A" w:rsidRPr="00AE0B09">
        <w:rPr>
          <w:rFonts w:asciiTheme="majorBidi" w:hAnsiTheme="majorBidi" w:cstheme="majorBidi"/>
          <w:sz w:val="24"/>
          <w:szCs w:val="24"/>
          <w:lang w:val="en-US"/>
        </w:rPr>
        <w:t xml:space="preserve">seems to reenergizes lately among Iraqi professionals; this is prompted by few reports in international media sources coupled with reported domestic hints and a complete silence of the Ministry of Oil. </w:t>
      </w:r>
    </w:p>
    <w:p w:rsidR="0075617A" w:rsidRPr="00AE0B09" w:rsidRDefault="0075617A" w:rsidP="007804F5">
      <w:pPr>
        <w:spacing w:after="0"/>
        <w:rPr>
          <w:rFonts w:asciiTheme="majorBidi" w:hAnsiTheme="majorBidi" w:cstheme="majorBidi"/>
          <w:sz w:val="24"/>
          <w:szCs w:val="24"/>
          <w:lang w:val="en-US"/>
        </w:rPr>
      </w:pPr>
      <w:r w:rsidRPr="00AE0B09">
        <w:rPr>
          <w:rFonts w:asciiTheme="majorBidi" w:hAnsiTheme="majorBidi" w:cstheme="majorBidi"/>
          <w:sz w:val="24"/>
          <w:szCs w:val="24"/>
          <w:lang w:val="en-US"/>
        </w:rPr>
        <w:t xml:space="preserve">Personally, I received requests from Iraqi parliamentarians, from members of local councils/governments in significant oil producing provinces, and from professional colleagues. These requests focused on </w:t>
      </w:r>
      <w:r w:rsidR="007804F5">
        <w:rPr>
          <w:rFonts w:asciiTheme="majorBidi" w:hAnsiTheme="majorBidi" w:cstheme="majorBidi"/>
          <w:sz w:val="24"/>
          <w:szCs w:val="24"/>
          <w:lang w:val="en-US"/>
        </w:rPr>
        <w:t xml:space="preserve">three </w:t>
      </w:r>
      <w:r w:rsidRPr="00AE0B09">
        <w:rPr>
          <w:rFonts w:asciiTheme="majorBidi" w:hAnsiTheme="majorBidi" w:cstheme="majorBidi"/>
          <w:sz w:val="24"/>
          <w:szCs w:val="24"/>
          <w:lang w:val="en-US"/>
        </w:rPr>
        <w:t xml:space="preserve">main issues: </w:t>
      </w:r>
    </w:p>
    <w:p w:rsidR="0075617A" w:rsidRPr="00AE0B09" w:rsidRDefault="0075617A" w:rsidP="0075617A">
      <w:pPr>
        <w:pStyle w:val="ListParagraph"/>
        <w:numPr>
          <w:ilvl w:val="0"/>
          <w:numId w:val="5"/>
        </w:numPr>
        <w:spacing w:after="0"/>
        <w:rPr>
          <w:rFonts w:asciiTheme="majorBidi" w:hAnsiTheme="majorBidi" w:cstheme="majorBidi"/>
          <w:sz w:val="24"/>
          <w:szCs w:val="24"/>
          <w:lang w:val="en-US"/>
        </w:rPr>
      </w:pPr>
      <w:r w:rsidRPr="00AE0B09">
        <w:rPr>
          <w:rFonts w:asciiTheme="majorBidi" w:hAnsiTheme="majorBidi" w:cstheme="majorBidi"/>
          <w:sz w:val="24"/>
          <w:szCs w:val="24"/>
          <w:lang w:val="en-US"/>
        </w:rPr>
        <w:t>The performance of the Long Term Service Contracts-LTSC concluded by the federal Ministry of Oil-MoO;</w:t>
      </w:r>
      <w:r w:rsidR="00682D1F" w:rsidRPr="00AE0B09">
        <w:rPr>
          <w:rFonts w:asciiTheme="majorBidi" w:hAnsiTheme="majorBidi" w:cstheme="majorBidi"/>
          <w:sz w:val="24"/>
          <w:szCs w:val="24"/>
          <w:lang w:val="en-US"/>
        </w:rPr>
        <w:t xml:space="preserve"> </w:t>
      </w:r>
      <w:r w:rsidRPr="00AE0B09">
        <w:rPr>
          <w:rFonts w:asciiTheme="majorBidi" w:hAnsiTheme="majorBidi" w:cstheme="majorBidi"/>
          <w:sz w:val="24"/>
          <w:szCs w:val="24"/>
          <w:lang w:val="en-US"/>
        </w:rPr>
        <w:t>The incurred cost of upstream development under these LTSC;</w:t>
      </w:r>
    </w:p>
    <w:p w:rsidR="0075617A" w:rsidRPr="00AE0B09" w:rsidRDefault="0075617A" w:rsidP="0075617A">
      <w:pPr>
        <w:pStyle w:val="ListParagraph"/>
        <w:numPr>
          <w:ilvl w:val="0"/>
          <w:numId w:val="5"/>
        </w:numPr>
        <w:spacing w:after="0"/>
        <w:rPr>
          <w:rFonts w:asciiTheme="majorBidi" w:hAnsiTheme="majorBidi" w:cstheme="majorBidi"/>
          <w:sz w:val="24"/>
          <w:szCs w:val="24"/>
          <w:lang w:val="en-US"/>
        </w:rPr>
      </w:pPr>
      <w:r w:rsidRPr="00AE0B09">
        <w:rPr>
          <w:rFonts w:asciiTheme="majorBidi" w:hAnsiTheme="majorBidi" w:cstheme="majorBidi"/>
          <w:sz w:val="24"/>
          <w:szCs w:val="24"/>
          <w:lang w:val="en-US"/>
        </w:rPr>
        <w:t xml:space="preserve"> The comparison of “service cost” under these LTSC against the corresponding cost under Production Sharing Contracts-PSCs;</w:t>
      </w:r>
    </w:p>
    <w:p w:rsidR="0075617A" w:rsidRPr="00AE0B09" w:rsidRDefault="0075617A" w:rsidP="0075617A">
      <w:pPr>
        <w:pStyle w:val="ListParagraph"/>
        <w:numPr>
          <w:ilvl w:val="0"/>
          <w:numId w:val="5"/>
        </w:numPr>
        <w:spacing w:after="0"/>
        <w:rPr>
          <w:rFonts w:asciiTheme="majorBidi" w:hAnsiTheme="majorBidi" w:cstheme="majorBidi"/>
          <w:sz w:val="24"/>
          <w:szCs w:val="24"/>
          <w:lang w:val="en-US"/>
        </w:rPr>
      </w:pPr>
      <w:r w:rsidRPr="00AE0B09">
        <w:rPr>
          <w:rFonts w:asciiTheme="majorBidi" w:hAnsiTheme="majorBidi" w:cstheme="majorBidi"/>
          <w:sz w:val="24"/>
          <w:szCs w:val="24"/>
          <w:lang w:val="en-US"/>
        </w:rPr>
        <w:t>The Constitutionality and legality of both modalities: LTSC and PSCs.</w:t>
      </w:r>
    </w:p>
    <w:p w:rsidR="0075617A" w:rsidRPr="00AE0B09" w:rsidRDefault="0075617A" w:rsidP="0075617A">
      <w:pPr>
        <w:spacing w:after="0"/>
        <w:rPr>
          <w:rFonts w:asciiTheme="majorBidi" w:hAnsiTheme="majorBidi" w:cstheme="majorBidi"/>
          <w:sz w:val="24"/>
          <w:szCs w:val="24"/>
          <w:lang w:val="en-US"/>
        </w:rPr>
      </w:pPr>
    </w:p>
    <w:p w:rsidR="0075617A" w:rsidRPr="00D8666A" w:rsidRDefault="0075617A" w:rsidP="00882B14">
      <w:pPr>
        <w:spacing w:after="0"/>
        <w:rPr>
          <w:lang w:val="en-US"/>
        </w:rPr>
      </w:pPr>
      <w:r w:rsidRPr="00AE0B09">
        <w:rPr>
          <w:rFonts w:asciiTheme="majorBidi" w:hAnsiTheme="majorBidi" w:cstheme="majorBidi"/>
          <w:sz w:val="24"/>
          <w:szCs w:val="24"/>
          <w:lang w:val="en-US"/>
        </w:rPr>
        <w:t xml:space="preserve">The purpose of this intervention is to address the above issues, </w:t>
      </w:r>
      <w:r w:rsidR="00AE0B09">
        <w:rPr>
          <w:rFonts w:asciiTheme="majorBidi" w:hAnsiTheme="majorBidi" w:cstheme="majorBidi"/>
          <w:sz w:val="24"/>
          <w:szCs w:val="24"/>
          <w:lang w:val="en-US"/>
        </w:rPr>
        <w:t xml:space="preserve">which </w:t>
      </w:r>
      <w:r w:rsidRPr="00AE0B09">
        <w:rPr>
          <w:rFonts w:asciiTheme="majorBidi" w:hAnsiTheme="majorBidi" w:cstheme="majorBidi"/>
          <w:sz w:val="24"/>
          <w:szCs w:val="24"/>
          <w:lang w:val="en-US"/>
        </w:rPr>
        <w:t xml:space="preserve">I have shared already </w:t>
      </w:r>
      <w:r w:rsidR="00882B14">
        <w:rPr>
          <w:rFonts w:asciiTheme="majorBidi" w:hAnsiTheme="majorBidi" w:cstheme="majorBidi"/>
          <w:sz w:val="24"/>
          <w:szCs w:val="24"/>
          <w:lang w:val="en-US"/>
        </w:rPr>
        <w:t xml:space="preserve">with the requesting colleagues. </w:t>
      </w:r>
      <w:r w:rsidRPr="00AE0B09">
        <w:rPr>
          <w:rFonts w:asciiTheme="majorBidi" w:hAnsiTheme="majorBidi" w:cstheme="majorBidi"/>
          <w:sz w:val="24"/>
          <w:szCs w:val="24"/>
          <w:lang w:val="en-US"/>
        </w:rPr>
        <w:t>Also, I had, in many previous occasions, dealt at length with matters pertaining to these issues. Thus, I will attempt here to provide an update and further insights.</w:t>
      </w:r>
      <w:r w:rsidR="00AE0B09">
        <w:rPr>
          <w:rStyle w:val="FootnoteReference"/>
          <w:rFonts w:asciiTheme="majorBidi" w:hAnsiTheme="majorBidi" w:cstheme="majorBidi"/>
          <w:sz w:val="24"/>
          <w:szCs w:val="24"/>
          <w:lang w:val="en-US"/>
        </w:rPr>
        <w:footnoteReference w:id="1"/>
      </w:r>
      <w:r w:rsidRPr="00D8666A">
        <w:rPr>
          <w:lang w:val="en-US"/>
        </w:rPr>
        <w:t xml:space="preserve">     </w:t>
      </w:r>
    </w:p>
    <w:p w:rsidR="00DA0C53" w:rsidRDefault="00DA0C53" w:rsidP="00ED3855">
      <w:pPr>
        <w:spacing w:after="0"/>
        <w:rPr>
          <w:rFonts w:asciiTheme="majorBidi" w:hAnsiTheme="majorBidi" w:cstheme="majorBidi"/>
          <w:b/>
          <w:bCs/>
          <w:sz w:val="24"/>
          <w:szCs w:val="24"/>
          <w:lang w:val="en-US"/>
        </w:rPr>
      </w:pPr>
    </w:p>
    <w:p w:rsidR="00682D1F" w:rsidRPr="00AE0B09" w:rsidRDefault="00682D1F" w:rsidP="00AE0B09">
      <w:pPr>
        <w:spacing w:after="0"/>
        <w:ind w:left="567" w:hanging="567"/>
        <w:rPr>
          <w:rFonts w:asciiTheme="majorBidi" w:hAnsiTheme="majorBidi" w:cstheme="majorBidi"/>
          <w:b/>
          <w:bCs/>
          <w:sz w:val="24"/>
          <w:szCs w:val="24"/>
          <w:lang w:val="en-US"/>
        </w:rPr>
      </w:pPr>
      <w:r w:rsidRPr="00AE0B09">
        <w:rPr>
          <w:rFonts w:asciiTheme="majorBidi" w:hAnsiTheme="majorBidi" w:cstheme="majorBidi"/>
          <w:b/>
          <w:bCs/>
          <w:sz w:val="24"/>
          <w:szCs w:val="24"/>
          <w:lang w:val="en-US"/>
        </w:rPr>
        <w:t xml:space="preserve">First; </w:t>
      </w:r>
      <w:r w:rsidRPr="00AE0B09">
        <w:rPr>
          <w:rFonts w:asciiTheme="majorBidi" w:hAnsiTheme="majorBidi" w:cstheme="majorBidi"/>
          <w:b/>
          <w:bCs/>
          <w:sz w:val="24"/>
          <w:szCs w:val="24"/>
          <w:lang w:val="en-US"/>
        </w:rPr>
        <w:t>The performance of the Long Term Service Contracts-LTSC concluded by the federal Ministry of Oil-MoO; The incurred cost of upstream development under these LTSC</w:t>
      </w:r>
    </w:p>
    <w:p w:rsidR="00304B99" w:rsidRPr="00ED3855" w:rsidRDefault="00304B99" w:rsidP="00ED3855">
      <w:p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Assessing LTSCs requires estimation of the </w:t>
      </w:r>
      <w:r w:rsidR="001F5AE3" w:rsidRPr="00ED3855">
        <w:rPr>
          <w:rFonts w:asciiTheme="majorBidi" w:hAnsiTheme="majorBidi" w:cstheme="majorBidi"/>
          <w:sz w:val="24"/>
          <w:szCs w:val="24"/>
          <w:lang w:val="en-US"/>
        </w:rPr>
        <w:t xml:space="preserve">following </w:t>
      </w:r>
      <w:r w:rsidRPr="00ED3855">
        <w:rPr>
          <w:rFonts w:asciiTheme="majorBidi" w:hAnsiTheme="majorBidi" w:cstheme="majorBidi"/>
          <w:sz w:val="24"/>
          <w:szCs w:val="24"/>
          <w:lang w:val="en-US"/>
        </w:rPr>
        <w:t xml:space="preserve">main parameters: </w:t>
      </w:r>
    </w:p>
    <w:p w:rsidR="00495EFD" w:rsidRPr="00ED3855" w:rsidRDefault="00495EFD" w:rsidP="00ED3855">
      <w:pPr>
        <w:pStyle w:val="ListParagraph"/>
        <w:numPr>
          <w:ilvl w:val="0"/>
          <w:numId w:val="1"/>
        </w:num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Service/Remuneration fee payable to IOCs under these LTSCs;</w:t>
      </w:r>
    </w:p>
    <w:p w:rsidR="00C53F3C" w:rsidRPr="00ED3855" w:rsidRDefault="00C53F3C" w:rsidP="00ED3855">
      <w:pPr>
        <w:pStyle w:val="ListParagraph"/>
        <w:numPr>
          <w:ilvl w:val="0"/>
          <w:numId w:val="1"/>
        </w:num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Added production in oil and gas due to these LTSCs;</w:t>
      </w:r>
    </w:p>
    <w:p w:rsidR="00304B99" w:rsidRPr="00ED3855" w:rsidRDefault="001F5AE3" w:rsidP="00ED3855">
      <w:pPr>
        <w:pStyle w:val="ListParagraph"/>
        <w:numPr>
          <w:ilvl w:val="0"/>
          <w:numId w:val="1"/>
        </w:num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C</w:t>
      </w:r>
      <w:r w:rsidR="00304B99" w:rsidRPr="00ED3855">
        <w:rPr>
          <w:rFonts w:asciiTheme="majorBidi" w:hAnsiTheme="majorBidi" w:cstheme="majorBidi"/>
          <w:sz w:val="24"/>
          <w:szCs w:val="24"/>
          <w:lang w:val="en-US"/>
        </w:rPr>
        <w:t>apital cost</w:t>
      </w:r>
      <w:r w:rsidRPr="00ED3855">
        <w:rPr>
          <w:rFonts w:asciiTheme="majorBidi" w:hAnsiTheme="majorBidi" w:cstheme="majorBidi"/>
          <w:sz w:val="24"/>
          <w:szCs w:val="24"/>
          <w:lang w:val="en-US"/>
        </w:rPr>
        <w:t xml:space="preserve"> (investment requirement) </w:t>
      </w:r>
      <w:r w:rsidR="00495EFD" w:rsidRPr="00ED3855">
        <w:rPr>
          <w:rFonts w:asciiTheme="majorBidi" w:hAnsiTheme="majorBidi" w:cstheme="majorBidi"/>
          <w:sz w:val="24"/>
          <w:szCs w:val="24"/>
          <w:lang w:val="en-US"/>
        </w:rPr>
        <w:t>incurred</w:t>
      </w:r>
      <w:r w:rsidR="00304B99" w:rsidRPr="00ED3855">
        <w:rPr>
          <w:rFonts w:asciiTheme="majorBidi" w:hAnsiTheme="majorBidi" w:cstheme="majorBidi"/>
          <w:sz w:val="24"/>
          <w:szCs w:val="24"/>
          <w:lang w:val="en-US"/>
        </w:rPr>
        <w:t xml:space="preserve"> so far for the development of oilfields covered by t</w:t>
      </w:r>
      <w:r w:rsidRPr="00ED3855">
        <w:rPr>
          <w:rFonts w:asciiTheme="majorBidi" w:hAnsiTheme="majorBidi" w:cstheme="majorBidi"/>
          <w:sz w:val="24"/>
          <w:szCs w:val="24"/>
          <w:lang w:val="en-US"/>
        </w:rPr>
        <w:t>h</w:t>
      </w:r>
      <w:r w:rsidR="00304B99" w:rsidRPr="00ED3855">
        <w:rPr>
          <w:rFonts w:asciiTheme="majorBidi" w:hAnsiTheme="majorBidi" w:cstheme="majorBidi"/>
          <w:sz w:val="24"/>
          <w:szCs w:val="24"/>
          <w:lang w:val="en-US"/>
        </w:rPr>
        <w:t xml:space="preserve">ese </w:t>
      </w:r>
      <w:r w:rsidRPr="00ED3855">
        <w:rPr>
          <w:rFonts w:asciiTheme="majorBidi" w:hAnsiTheme="majorBidi" w:cstheme="majorBidi"/>
          <w:sz w:val="24"/>
          <w:szCs w:val="24"/>
          <w:lang w:val="en-US"/>
        </w:rPr>
        <w:t>LTSCs;</w:t>
      </w:r>
    </w:p>
    <w:p w:rsidR="00BB6243" w:rsidRDefault="00BB6243" w:rsidP="00ED3855">
      <w:pPr>
        <w:spacing w:after="0"/>
        <w:rPr>
          <w:rFonts w:asciiTheme="majorBidi" w:hAnsiTheme="majorBidi" w:cstheme="majorBidi"/>
          <w:b/>
          <w:bCs/>
          <w:sz w:val="24"/>
          <w:szCs w:val="24"/>
          <w:lang w:val="en-US"/>
        </w:rPr>
      </w:pPr>
    </w:p>
    <w:p w:rsidR="00495EFD" w:rsidRPr="00813D59" w:rsidRDefault="00495EFD" w:rsidP="00813D59">
      <w:pPr>
        <w:pStyle w:val="ListParagraph"/>
        <w:numPr>
          <w:ilvl w:val="0"/>
          <w:numId w:val="4"/>
        </w:numPr>
        <w:spacing w:after="0"/>
        <w:ind w:left="709" w:hanging="349"/>
        <w:rPr>
          <w:rFonts w:asciiTheme="majorBidi" w:hAnsiTheme="majorBidi" w:cstheme="majorBidi"/>
          <w:b/>
          <w:bCs/>
          <w:sz w:val="24"/>
          <w:szCs w:val="24"/>
          <w:lang w:val="en-US"/>
        </w:rPr>
      </w:pPr>
      <w:r w:rsidRPr="00813D59">
        <w:rPr>
          <w:rFonts w:asciiTheme="majorBidi" w:hAnsiTheme="majorBidi" w:cstheme="majorBidi"/>
          <w:b/>
          <w:bCs/>
          <w:sz w:val="24"/>
          <w:szCs w:val="24"/>
          <w:lang w:val="en-US"/>
        </w:rPr>
        <w:t>Service/Remuneration fee payable to IOCs under LTSCs</w:t>
      </w:r>
    </w:p>
    <w:p w:rsidR="00BF7114" w:rsidRPr="00ED3855" w:rsidRDefault="00BF7114" w:rsidP="00813D59">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The contracted remuneration fees vary between currently producing oilfields that were included in bid rounds one and two in addition to Al-ahdab. Moreover, remuneration fees for the six oilfields covered by bid round one model contract are paid for the “</w:t>
      </w:r>
      <w:r w:rsidR="00813D59">
        <w:rPr>
          <w:rFonts w:asciiTheme="majorBidi" w:eastAsia="Calibri" w:hAnsiTheme="majorBidi" w:cstheme="majorBidi"/>
          <w:b w:val="0"/>
          <w:bCs w:val="0"/>
          <w:sz w:val="24"/>
          <w:szCs w:val="24"/>
          <w:lang w:val="en-US"/>
        </w:rPr>
        <w:t>I</w:t>
      </w:r>
      <w:r w:rsidRPr="00ED3855">
        <w:rPr>
          <w:rFonts w:asciiTheme="majorBidi" w:eastAsia="Calibri" w:hAnsiTheme="majorBidi" w:cstheme="majorBidi"/>
          <w:b w:val="0"/>
          <w:bCs w:val="0"/>
          <w:sz w:val="24"/>
          <w:szCs w:val="24"/>
          <w:lang w:val="en-US"/>
        </w:rPr>
        <w:t xml:space="preserve">ncremental </w:t>
      </w:r>
      <w:r w:rsidR="00813D59">
        <w:rPr>
          <w:rFonts w:asciiTheme="majorBidi" w:eastAsia="Calibri" w:hAnsiTheme="majorBidi" w:cstheme="majorBidi"/>
          <w:b w:val="0"/>
          <w:bCs w:val="0"/>
          <w:sz w:val="24"/>
          <w:szCs w:val="24"/>
          <w:lang w:val="en-US"/>
        </w:rPr>
        <w:t>P</w:t>
      </w:r>
      <w:r w:rsidRPr="00ED3855">
        <w:rPr>
          <w:rFonts w:asciiTheme="majorBidi" w:eastAsia="Calibri" w:hAnsiTheme="majorBidi" w:cstheme="majorBidi"/>
          <w:b w:val="0"/>
          <w:bCs w:val="0"/>
          <w:sz w:val="24"/>
          <w:szCs w:val="24"/>
          <w:lang w:val="en-US"/>
        </w:rPr>
        <w:t xml:space="preserve">roduction”. Also, </w:t>
      </w:r>
      <w:r w:rsidRPr="00813D59">
        <w:rPr>
          <w:rFonts w:asciiTheme="majorBidi" w:eastAsia="Calibri" w:hAnsiTheme="majorBidi" w:cstheme="majorBidi"/>
          <w:b w:val="0"/>
          <w:bCs w:val="0"/>
          <w:sz w:val="24"/>
          <w:szCs w:val="24"/>
          <w:u w:val="single"/>
          <w:lang w:val="en-US"/>
        </w:rPr>
        <w:t>actual</w:t>
      </w:r>
      <w:r w:rsidRPr="00ED3855">
        <w:rPr>
          <w:rFonts w:asciiTheme="majorBidi" w:eastAsia="Calibri" w:hAnsiTheme="majorBidi" w:cstheme="majorBidi"/>
          <w:b w:val="0"/>
          <w:bCs w:val="0"/>
          <w:sz w:val="24"/>
          <w:szCs w:val="24"/>
          <w:lang w:val="en-US"/>
        </w:rPr>
        <w:t xml:space="preserve"> remuneration fee is subject to the R-factor effect that would reduce such fees to its bidding value to its 20%, 30% or 50% depending on contract specification. </w:t>
      </w:r>
      <w:r w:rsidRPr="00ED3855">
        <w:rPr>
          <w:rFonts w:asciiTheme="majorBidi" w:eastAsia="Calibri" w:hAnsiTheme="majorBidi" w:cstheme="majorBidi"/>
          <w:b w:val="0"/>
          <w:bCs w:val="0"/>
          <w:sz w:val="24"/>
          <w:szCs w:val="24"/>
          <w:lang w:val="en-US"/>
        </w:rPr>
        <w:lastRenderedPageBreak/>
        <w:t>Finally, the actual remuneration fee could be reduced further by the corporate income tax and by the share of the “State Partner”</w:t>
      </w:r>
      <w:r w:rsidR="00813D59">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 xml:space="preserve"> </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Based on the above and assuming R-factor equals to or less than (1) the remuneration fee per barrel for the 12 contracted oilfields are calculated as follows:</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w:t>
      </w:r>
      <w:r w:rsidRPr="00ED3855">
        <w:rPr>
          <w:rFonts w:asciiTheme="majorBidi" w:eastAsia="Calibri" w:hAnsiTheme="majorBidi" w:cstheme="majorBidi"/>
          <w:b w:val="0"/>
          <w:bCs w:val="0"/>
          <w:sz w:val="24"/>
          <w:szCs w:val="24"/>
          <w:u w:val="single"/>
          <w:lang w:val="en-US"/>
        </w:rPr>
        <w:t>Gross Simple Average</w:t>
      </w:r>
      <w:r w:rsidRPr="00ED3855">
        <w:rPr>
          <w:rFonts w:asciiTheme="majorBidi" w:eastAsia="Calibri" w:hAnsiTheme="majorBidi" w:cstheme="majorBidi"/>
          <w:b w:val="0"/>
          <w:bCs w:val="0"/>
          <w:sz w:val="24"/>
          <w:szCs w:val="24"/>
          <w:lang w:val="en-US"/>
        </w:rPr>
        <w:t xml:space="preserve"> is $2.51/barrel (Gross Simple Average means the arithmetic average of the remuneration fees for the 12 contracted oilfields);</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w:t>
      </w:r>
      <w:r w:rsidRPr="00ED3855">
        <w:rPr>
          <w:rFonts w:asciiTheme="majorBidi" w:eastAsia="Calibri" w:hAnsiTheme="majorBidi" w:cstheme="majorBidi"/>
          <w:b w:val="0"/>
          <w:bCs w:val="0"/>
          <w:sz w:val="24"/>
          <w:szCs w:val="24"/>
          <w:u w:val="single"/>
          <w:lang w:val="en-US"/>
        </w:rPr>
        <w:t>Net Simple Average</w:t>
      </w:r>
      <w:r w:rsidRPr="00ED3855">
        <w:rPr>
          <w:rFonts w:asciiTheme="majorBidi" w:eastAsia="Calibri" w:hAnsiTheme="majorBidi" w:cstheme="majorBidi"/>
          <w:b w:val="0"/>
          <w:bCs w:val="0"/>
          <w:sz w:val="24"/>
          <w:szCs w:val="24"/>
          <w:lang w:val="en-US"/>
        </w:rPr>
        <w:t xml:space="preserve"> is $1.23/barrel (Net Simple Average means Gross Simple Average deducted by corporate income tax and by the share of State Partners in the same oilfields. );</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But since oilfields differ in their potential as measured by their negotiated plateau production it becomes imperative to use the weighted average for these oilfields. Accordingly, the following weighted averages are calculated reflecting more meaningfully the economic and financial impact of the remuneration fee:</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w:t>
      </w:r>
      <w:r w:rsidRPr="00ED3855">
        <w:rPr>
          <w:rFonts w:asciiTheme="majorBidi" w:eastAsia="Calibri" w:hAnsiTheme="majorBidi" w:cstheme="majorBidi"/>
          <w:b w:val="0"/>
          <w:bCs w:val="0"/>
          <w:sz w:val="24"/>
          <w:szCs w:val="24"/>
          <w:u w:val="single"/>
          <w:lang w:val="en-US"/>
        </w:rPr>
        <w:t>Gross Weighted Average</w:t>
      </w:r>
      <w:r w:rsidRPr="00ED3855">
        <w:rPr>
          <w:rFonts w:asciiTheme="majorBidi" w:eastAsia="Calibri" w:hAnsiTheme="majorBidi" w:cstheme="majorBidi"/>
          <w:b w:val="0"/>
          <w:bCs w:val="0"/>
          <w:sz w:val="24"/>
          <w:szCs w:val="24"/>
          <w:lang w:val="en-US"/>
        </w:rPr>
        <w:t xml:space="preserve"> is $1.88/barrel while the </w:t>
      </w:r>
      <w:r w:rsidRPr="00ED3855">
        <w:rPr>
          <w:rFonts w:asciiTheme="majorBidi" w:eastAsia="Calibri" w:hAnsiTheme="majorBidi" w:cstheme="majorBidi"/>
          <w:b w:val="0"/>
          <w:bCs w:val="0"/>
          <w:sz w:val="24"/>
          <w:szCs w:val="24"/>
          <w:u w:val="single"/>
          <w:lang w:val="en-US"/>
        </w:rPr>
        <w:t>Net Weighted Average</w:t>
      </w:r>
      <w:r w:rsidRPr="00ED3855">
        <w:rPr>
          <w:rFonts w:asciiTheme="majorBidi" w:eastAsia="Calibri" w:hAnsiTheme="majorBidi" w:cstheme="majorBidi"/>
          <w:b w:val="0"/>
          <w:bCs w:val="0"/>
          <w:sz w:val="24"/>
          <w:szCs w:val="24"/>
          <w:lang w:val="en-US"/>
        </w:rPr>
        <w:t xml:space="preserve"> is $0.92/barrel</w:t>
      </w:r>
      <w:r w:rsidR="00D409AE" w:rsidRPr="00ED3855">
        <w:rPr>
          <w:rFonts w:asciiTheme="majorBidi" w:eastAsia="Calibri" w:hAnsiTheme="majorBidi" w:cstheme="majorBidi"/>
          <w:b w:val="0"/>
          <w:bCs w:val="0"/>
          <w:sz w:val="24"/>
          <w:szCs w:val="24"/>
          <w:lang w:val="en-US"/>
        </w:rPr>
        <w:t xml:space="preserve"> then increased to $1/b (due to SP share reduction to 5% for two oilfields only during the term of the previous Oil Minister Abdul Kareem Luaibi!!)</w:t>
      </w:r>
      <w:r w:rsidRPr="00ED3855">
        <w:rPr>
          <w:rFonts w:asciiTheme="majorBidi" w:eastAsia="Calibri" w:hAnsiTheme="majorBidi" w:cstheme="majorBidi"/>
          <w:b w:val="0"/>
          <w:bCs w:val="0"/>
          <w:sz w:val="24"/>
          <w:szCs w:val="24"/>
          <w:lang w:val="en-US"/>
        </w:rPr>
        <w:t>.</w:t>
      </w: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BF7114" w:rsidRPr="00ED3855" w:rsidRDefault="00BF7114" w:rsidP="00ED3855">
      <w:pPr>
        <w:pStyle w:val="Heading1"/>
        <w:spacing w:before="0" w:beforeAutospacing="0" w:after="0" w:afterAutospacing="0" w:line="276" w:lineRule="auto"/>
        <w:rPr>
          <w:rFonts w:asciiTheme="majorBidi" w:eastAsia="Calibri" w:hAnsiTheme="majorBidi" w:cstheme="majorBidi"/>
          <w:sz w:val="24"/>
          <w:szCs w:val="24"/>
          <w:lang w:val="en-US"/>
        </w:rPr>
      </w:pPr>
      <w:r w:rsidRPr="00ED3855">
        <w:rPr>
          <w:rFonts w:asciiTheme="majorBidi" w:eastAsia="Calibri" w:hAnsiTheme="majorBidi" w:cstheme="majorBidi"/>
          <w:b w:val="0"/>
          <w:bCs w:val="0"/>
          <w:sz w:val="24"/>
          <w:szCs w:val="24"/>
          <w:lang w:val="en-US"/>
        </w:rPr>
        <w:t>Economically and contractually the Net Weighted Average</w:t>
      </w:r>
      <w:r w:rsidR="00D409AE" w:rsidRPr="00ED3855">
        <w:rPr>
          <w:rFonts w:asciiTheme="majorBidi" w:eastAsia="Calibri" w:hAnsiTheme="majorBidi" w:cstheme="majorBidi"/>
          <w:b w:val="0"/>
          <w:bCs w:val="0"/>
          <w:sz w:val="24"/>
          <w:szCs w:val="24"/>
          <w:lang w:val="en-US"/>
        </w:rPr>
        <w:t xml:space="preserve"> (of $1/b) </w:t>
      </w:r>
      <w:r w:rsidRPr="00ED3855">
        <w:rPr>
          <w:rFonts w:asciiTheme="majorBidi" w:eastAsia="Calibri" w:hAnsiTheme="majorBidi" w:cstheme="majorBidi"/>
          <w:b w:val="0"/>
          <w:bCs w:val="0"/>
          <w:sz w:val="24"/>
          <w:szCs w:val="24"/>
          <w:lang w:val="en-US"/>
        </w:rPr>
        <w:t xml:space="preserve">as calculated above represent the </w:t>
      </w:r>
      <w:r w:rsidRPr="00ED3855">
        <w:rPr>
          <w:rFonts w:asciiTheme="majorBidi" w:eastAsia="Calibri" w:hAnsiTheme="majorBidi" w:cstheme="majorBidi"/>
          <w:sz w:val="24"/>
          <w:szCs w:val="24"/>
          <w:lang w:val="en-US"/>
        </w:rPr>
        <w:t xml:space="preserve">maximum remuneration fee </w:t>
      </w:r>
      <w:r w:rsidR="00112CC3" w:rsidRPr="00ED3855">
        <w:rPr>
          <w:rFonts w:asciiTheme="majorBidi" w:eastAsia="Calibri" w:hAnsiTheme="majorBidi" w:cstheme="majorBidi"/>
          <w:sz w:val="24"/>
          <w:szCs w:val="24"/>
          <w:lang w:val="en-US"/>
        </w:rPr>
        <w:t xml:space="preserve">payable </w:t>
      </w:r>
      <w:r w:rsidRPr="00ED3855">
        <w:rPr>
          <w:rFonts w:asciiTheme="majorBidi" w:eastAsia="Calibri" w:hAnsiTheme="majorBidi" w:cstheme="majorBidi"/>
          <w:sz w:val="24"/>
          <w:szCs w:val="24"/>
          <w:lang w:val="en-US"/>
        </w:rPr>
        <w:t xml:space="preserve">for </w:t>
      </w:r>
      <w:r w:rsidR="00112CC3" w:rsidRPr="00ED3855">
        <w:rPr>
          <w:rFonts w:asciiTheme="majorBidi" w:eastAsia="Calibri" w:hAnsiTheme="majorBidi" w:cstheme="majorBidi"/>
          <w:sz w:val="24"/>
          <w:szCs w:val="24"/>
          <w:lang w:val="en-US"/>
        </w:rPr>
        <w:t xml:space="preserve">the </w:t>
      </w:r>
      <w:r w:rsidRPr="00ED3855">
        <w:rPr>
          <w:rFonts w:asciiTheme="majorBidi" w:eastAsia="Calibri" w:hAnsiTheme="majorBidi" w:cstheme="majorBidi"/>
          <w:sz w:val="24"/>
          <w:szCs w:val="24"/>
          <w:lang w:val="en-US"/>
        </w:rPr>
        <w:t>services of the IOCs</w:t>
      </w:r>
      <w:r w:rsidRPr="00ED3855">
        <w:rPr>
          <w:rFonts w:asciiTheme="majorBidi" w:eastAsia="Calibri" w:hAnsiTheme="majorBidi" w:cstheme="majorBidi"/>
          <w:b w:val="0"/>
          <w:bCs w:val="0"/>
          <w:sz w:val="24"/>
          <w:szCs w:val="24"/>
          <w:lang w:val="en-US"/>
        </w:rPr>
        <w:t>. In other words these are the maximum IOCs service-take in the concluded service contracts.</w:t>
      </w:r>
      <w:r w:rsidRPr="00ED3855">
        <w:rPr>
          <w:rFonts w:asciiTheme="majorBidi" w:eastAsia="Calibri" w:hAnsiTheme="majorBidi" w:cstheme="majorBidi"/>
          <w:sz w:val="24"/>
          <w:szCs w:val="24"/>
          <w:lang w:val="en-US"/>
        </w:rPr>
        <w:t xml:space="preserve"> </w:t>
      </w:r>
    </w:p>
    <w:p w:rsidR="00495EFD" w:rsidRPr="00ED3855" w:rsidRDefault="00495EFD" w:rsidP="00ED3855">
      <w:pPr>
        <w:spacing w:after="0"/>
        <w:rPr>
          <w:rFonts w:asciiTheme="majorBidi" w:hAnsiTheme="majorBidi" w:cstheme="majorBidi"/>
          <w:sz w:val="24"/>
          <w:szCs w:val="24"/>
          <w:lang w:val="en-US"/>
        </w:rPr>
      </w:pPr>
    </w:p>
    <w:p w:rsidR="00C53F3C" w:rsidRPr="00813D59" w:rsidRDefault="00C53F3C" w:rsidP="00813D59">
      <w:pPr>
        <w:pStyle w:val="ListParagraph"/>
        <w:numPr>
          <w:ilvl w:val="0"/>
          <w:numId w:val="4"/>
        </w:numPr>
        <w:spacing w:after="0"/>
        <w:ind w:left="851" w:hanging="491"/>
        <w:rPr>
          <w:rFonts w:asciiTheme="majorBidi" w:hAnsiTheme="majorBidi" w:cstheme="majorBidi"/>
          <w:b/>
          <w:bCs/>
          <w:sz w:val="24"/>
          <w:szCs w:val="24"/>
          <w:lang w:val="en-US"/>
        </w:rPr>
      </w:pPr>
      <w:r w:rsidRPr="00813D59">
        <w:rPr>
          <w:rFonts w:asciiTheme="majorBidi" w:hAnsiTheme="majorBidi" w:cstheme="majorBidi"/>
          <w:b/>
          <w:bCs/>
          <w:sz w:val="24"/>
          <w:szCs w:val="24"/>
          <w:lang w:val="en-US"/>
        </w:rPr>
        <w:t>Added production in oil and gas due to these LTSCs</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The focus here is on the added oil production resulting from the first two bid rounds and Al</w:t>
      </w:r>
      <w:r w:rsidR="00112CC3"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 xml:space="preserve">ahdab. </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Production from the southern oilfields comprises three different categories:</w:t>
      </w:r>
    </w:p>
    <w:p w:rsidR="00C53F3C" w:rsidRPr="00ED3855" w:rsidRDefault="00C53F3C" w:rsidP="00ED3855">
      <w:pPr>
        <w:pStyle w:val="Heading1"/>
        <w:numPr>
          <w:ilvl w:val="0"/>
          <w:numId w:val="2"/>
        </w:numPr>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The six oilfields covered by the service contract for the first bid round (BR1)-; each of these Brownfields has its own base-line production- (BLP) subject to a natural decline of 5% per annum;</w:t>
      </w:r>
    </w:p>
    <w:p w:rsidR="00C53F3C" w:rsidRPr="00ED3855" w:rsidRDefault="00C53F3C" w:rsidP="00ED3855">
      <w:pPr>
        <w:pStyle w:val="Heading1"/>
        <w:numPr>
          <w:ilvl w:val="0"/>
          <w:numId w:val="2"/>
        </w:numPr>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The five oilfields covered by the service contract for the second bid round (BR2) and the service contract for Al-ahdab (Greenfields; BR2+);</w:t>
      </w:r>
    </w:p>
    <w:p w:rsidR="00C53F3C" w:rsidRPr="00ED3855" w:rsidRDefault="00C53F3C" w:rsidP="00813D59">
      <w:pPr>
        <w:pStyle w:val="Heading1"/>
        <w:numPr>
          <w:ilvl w:val="0"/>
          <w:numId w:val="2"/>
        </w:numPr>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Oilfields managed by National Efforts (NEO).    </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C53F3C" w:rsidRPr="00ED3855" w:rsidRDefault="00E926F2" w:rsidP="00E926F2">
      <w:pPr>
        <w:pStyle w:val="Heading1"/>
        <w:spacing w:before="0" w:beforeAutospacing="0" w:after="0" w:afterAutospacing="0" w:line="276" w:lineRule="auto"/>
        <w:rPr>
          <w:rFonts w:asciiTheme="majorBidi" w:eastAsia="Calibri" w:hAnsiTheme="majorBidi" w:cstheme="majorBidi"/>
          <w:b w:val="0"/>
          <w:bCs w:val="0"/>
          <w:sz w:val="24"/>
          <w:szCs w:val="24"/>
          <w:lang w:val="en-US"/>
        </w:rPr>
      </w:pPr>
      <w:r>
        <w:rPr>
          <w:rFonts w:asciiTheme="majorBidi" w:eastAsia="Calibri" w:hAnsiTheme="majorBidi" w:cstheme="majorBidi"/>
          <w:b w:val="0"/>
          <w:bCs w:val="0"/>
          <w:sz w:val="24"/>
          <w:szCs w:val="24"/>
          <w:lang w:val="en-US"/>
        </w:rPr>
        <w:t>As a matter of fact the S</w:t>
      </w:r>
      <w:r w:rsidR="00C53F3C" w:rsidRPr="00ED3855">
        <w:rPr>
          <w:rFonts w:asciiTheme="majorBidi" w:eastAsia="Calibri" w:hAnsiTheme="majorBidi" w:cstheme="majorBidi"/>
          <w:b w:val="0"/>
          <w:bCs w:val="0"/>
          <w:sz w:val="24"/>
          <w:szCs w:val="24"/>
          <w:lang w:val="en-US"/>
        </w:rPr>
        <w:t xml:space="preserve">ervice Contracts under the two bid rounds were concluded in 2009, thus BLP for BR1 oilfields was 100% and by end 2015 the remaining BLP is 70% (at absolute 5% decline per annum on the specified BLP). </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Production from NEO at end 2015 is estimated at 182kbd (minimum).</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As mentioned above total production from southern oilfields at third quarter of 2015 was ca. 3.4 mbd and extrapolation of production at end 2015 is estimated at 3.8mbd. </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Based on the above</w:t>
      </w:r>
      <w:r w:rsidR="00F74F0B"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 xml:space="preserve"> “</w:t>
      </w:r>
      <w:r w:rsidRPr="00ED3855">
        <w:rPr>
          <w:rFonts w:asciiTheme="majorBidi" w:eastAsia="Calibri" w:hAnsiTheme="majorBidi" w:cstheme="majorBidi"/>
          <w:b w:val="0"/>
          <w:bCs w:val="0"/>
          <w:sz w:val="24"/>
          <w:szCs w:val="24"/>
          <w:u w:val="single"/>
          <w:lang w:val="en-US"/>
        </w:rPr>
        <w:t>added oil production</w:t>
      </w:r>
      <w:r w:rsidRPr="00ED3855">
        <w:rPr>
          <w:rFonts w:asciiTheme="majorBidi" w:eastAsia="Calibri" w:hAnsiTheme="majorBidi" w:cstheme="majorBidi"/>
          <w:b w:val="0"/>
          <w:bCs w:val="0"/>
          <w:sz w:val="24"/>
          <w:szCs w:val="24"/>
          <w:lang w:val="en-US"/>
        </w:rPr>
        <w:t xml:space="preserve">” from both brown and green oilfields: </w:t>
      </w:r>
      <w:r w:rsidR="00F74F0B"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BR1</w:t>
      </w:r>
      <w:r w:rsidR="00F74F0B"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 xml:space="preserve"> and </w:t>
      </w:r>
      <w:r w:rsidR="00F74F0B"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BR2+</w:t>
      </w:r>
      <w:r w:rsidR="00F74F0B" w:rsidRPr="00ED3855">
        <w:rPr>
          <w:rFonts w:asciiTheme="majorBidi" w:eastAsia="Calibri" w:hAnsiTheme="majorBidi" w:cstheme="majorBidi"/>
          <w:b w:val="0"/>
          <w:bCs w:val="0"/>
          <w:sz w:val="24"/>
          <w:szCs w:val="24"/>
          <w:lang w:val="en-US"/>
        </w:rPr>
        <w:t>)</w:t>
      </w:r>
      <w:r w:rsidRPr="00ED3855">
        <w:rPr>
          <w:rFonts w:asciiTheme="majorBidi" w:eastAsia="Calibri" w:hAnsiTheme="majorBidi" w:cstheme="majorBidi"/>
          <w:b w:val="0"/>
          <w:bCs w:val="0"/>
          <w:sz w:val="24"/>
          <w:szCs w:val="24"/>
          <w:lang w:val="en-US"/>
        </w:rPr>
        <w:t xml:space="preserve"> at end 2015 </w:t>
      </w:r>
      <w:r w:rsidR="00F74F0B" w:rsidRPr="00ED3855">
        <w:rPr>
          <w:rFonts w:asciiTheme="majorBidi" w:eastAsia="Calibri" w:hAnsiTheme="majorBidi" w:cstheme="majorBidi"/>
          <w:b w:val="0"/>
          <w:bCs w:val="0"/>
          <w:sz w:val="24"/>
          <w:szCs w:val="24"/>
          <w:lang w:val="en-US"/>
        </w:rPr>
        <w:t>is calculated as follows</w:t>
      </w:r>
      <w:r w:rsidRPr="00ED3855">
        <w:rPr>
          <w:rFonts w:asciiTheme="majorBidi" w:eastAsia="Calibri" w:hAnsiTheme="majorBidi" w:cstheme="majorBidi"/>
          <w:b w:val="0"/>
          <w:bCs w:val="0"/>
          <w:sz w:val="24"/>
          <w:szCs w:val="24"/>
          <w:lang w:val="en-US"/>
        </w:rPr>
        <w:t xml:space="preserve">: </w:t>
      </w:r>
    </w:p>
    <w:p w:rsidR="00C53F3C" w:rsidRPr="00ED3855" w:rsidRDefault="00C53F3C" w:rsidP="00ED3855">
      <w:pPr>
        <w:pStyle w:val="Heading1"/>
        <w:spacing w:before="0" w:beforeAutospacing="0" w:after="0" w:afterAutospacing="0" w:line="276" w:lineRule="auto"/>
        <w:ind w:left="3119" w:hanging="2268"/>
        <w:rPr>
          <w:rFonts w:asciiTheme="majorBidi" w:eastAsia="Calibri" w:hAnsiTheme="majorBidi" w:cstheme="majorBidi"/>
          <w:sz w:val="24"/>
          <w:szCs w:val="24"/>
          <w:lang w:val="en-US"/>
        </w:rPr>
      </w:pPr>
      <w:r w:rsidRPr="00ED3855">
        <w:rPr>
          <w:rFonts w:asciiTheme="majorBidi" w:eastAsia="Calibri" w:hAnsiTheme="majorBidi" w:cstheme="majorBidi"/>
          <w:sz w:val="24"/>
          <w:szCs w:val="24"/>
          <w:lang w:val="en-US"/>
        </w:rPr>
        <w:t xml:space="preserve">Added Oil Production= Total production (-) the balance of BLP (-) NEO </w:t>
      </w:r>
    </w:p>
    <w:p w:rsidR="00C53F3C" w:rsidRPr="00ED3855" w:rsidRDefault="00C53F3C"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sz w:val="24"/>
          <w:szCs w:val="24"/>
          <w:lang w:val="en-US"/>
        </w:rPr>
        <w:t xml:space="preserve">    </w:t>
      </w:r>
      <w:r w:rsidRPr="00ED3855">
        <w:rPr>
          <w:rFonts w:asciiTheme="majorBidi" w:eastAsia="Calibri" w:hAnsiTheme="majorBidi" w:cstheme="majorBidi"/>
          <w:sz w:val="24"/>
          <w:szCs w:val="24"/>
          <w:lang w:val="en-US"/>
        </w:rPr>
        <w:tab/>
      </w:r>
      <w:r w:rsidRPr="00ED3855">
        <w:rPr>
          <w:rFonts w:asciiTheme="majorBidi" w:eastAsia="Calibri" w:hAnsiTheme="majorBidi" w:cstheme="majorBidi"/>
          <w:sz w:val="24"/>
          <w:szCs w:val="24"/>
          <w:lang w:val="en-US"/>
        </w:rPr>
        <w:tab/>
      </w:r>
      <w:r w:rsidRPr="00ED3855">
        <w:rPr>
          <w:rFonts w:asciiTheme="majorBidi" w:eastAsia="Calibri" w:hAnsiTheme="majorBidi" w:cstheme="majorBidi"/>
          <w:sz w:val="24"/>
          <w:szCs w:val="24"/>
          <w:lang w:val="en-US"/>
        </w:rPr>
        <w:tab/>
        <w:t xml:space="preserve">  </w:t>
      </w:r>
      <w:r w:rsidR="00112CC3" w:rsidRPr="00ED3855">
        <w:rPr>
          <w:rFonts w:asciiTheme="majorBidi" w:eastAsia="Calibri" w:hAnsiTheme="majorBidi" w:cstheme="majorBidi"/>
          <w:sz w:val="24"/>
          <w:szCs w:val="24"/>
          <w:lang w:val="en-US"/>
        </w:rPr>
        <w:t xml:space="preserve">              </w:t>
      </w:r>
      <w:r w:rsidRPr="00ED3855">
        <w:rPr>
          <w:rFonts w:asciiTheme="majorBidi" w:eastAsia="Calibri" w:hAnsiTheme="majorBidi" w:cstheme="majorBidi"/>
          <w:sz w:val="24"/>
          <w:szCs w:val="24"/>
          <w:lang w:val="en-US"/>
        </w:rPr>
        <w:t>= 2.501 mbd (end 2015)</w:t>
      </w:r>
    </w:p>
    <w:p w:rsidR="001F5AE3" w:rsidRPr="00ED3855" w:rsidRDefault="001F5AE3" w:rsidP="00ED3855">
      <w:p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 </w:t>
      </w:r>
    </w:p>
    <w:p w:rsidR="00E8308B" w:rsidRPr="00ED3855" w:rsidRDefault="00F66E15" w:rsidP="00E926F2">
      <w:pPr>
        <w:pStyle w:val="Heading1"/>
        <w:numPr>
          <w:ilvl w:val="0"/>
          <w:numId w:val="4"/>
        </w:numPr>
        <w:spacing w:before="0" w:beforeAutospacing="0" w:after="0" w:afterAutospacing="0" w:line="276" w:lineRule="auto"/>
        <w:ind w:left="851" w:hanging="491"/>
        <w:rPr>
          <w:rFonts w:asciiTheme="majorBidi" w:eastAsia="Calibri" w:hAnsiTheme="majorBidi" w:cstheme="majorBidi"/>
          <w:sz w:val="24"/>
          <w:szCs w:val="24"/>
          <w:lang w:val="en-US"/>
        </w:rPr>
      </w:pPr>
      <w:r w:rsidRPr="00ED3855">
        <w:rPr>
          <w:rFonts w:asciiTheme="majorBidi" w:eastAsia="Calibri" w:hAnsiTheme="majorBidi" w:cstheme="majorBidi"/>
          <w:sz w:val="24"/>
          <w:szCs w:val="24"/>
          <w:lang w:val="en-US"/>
        </w:rPr>
        <w:t>Payments to the IOCs under LTSC</w:t>
      </w:r>
    </w:p>
    <w:p w:rsidR="00F74F0B" w:rsidRPr="00ED3855" w:rsidRDefault="00F74F0B"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lastRenderedPageBreak/>
        <w:t>Payments to the IOCs (capital cost and remuneration fee) are determined by the Incremental Production (for BR1); by total production (for Greenfields: BR2+); by the “Cap on the Deemed Revenues”; and by the R-factor (for remuneration fee as specified in the related service contracts).</w:t>
      </w:r>
      <w:r w:rsidR="0068778C" w:rsidRPr="00ED3855">
        <w:rPr>
          <w:rFonts w:asciiTheme="majorBidi" w:eastAsia="Calibri" w:hAnsiTheme="majorBidi" w:cstheme="majorBidi"/>
          <w:b w:val="0"/>
          <w:bCs w:val="0"/>
          <w:sz w:val="24"/>
          <w:szCs w:val="24"/>
          <w:lang w:val="en-US"/>
        </w:rPr>
        <w:t xml:space="preserve"> Thus, “added oil production” from both brown and green oilfields (BR1) and (BR2+) are essential for </w:t>
      </w:r>
      <w:r w:rsidRPr="00ED3855">
        <w:rPr>
          <w:rFonts w:asciiTheme="majorBidi" w:eastAsia="Calibri" w:hAnsiTheme="majorBidi" w:cstheme="majorBidi"/>
          <w:b w:val="0"/>
          <w:bCs w:val="0"/>
          <w:sz w:val="24"/>
          <w:szCs w:val="24"/>
          <w:lang w:val="en-US"/>
        </w:rPr>
        <w:t>estimat</w:t>
      </w:r>
      <w:r w:rsidR="0068778C" w:rsidRPr="00ED3855">
        <w:rPr>
          <w:rFonts w:asciiTheme="majorBidi" w:eastAsia="Calibri" w:hAnsiTheme="majorBidi" w:cstheme="majorBidi"/>
          <w:b w:val="0"/>
          <w:bCs w:val="0"/>
          <w:sz w:val="24"/>
          <w:szCs w:val="24"/>
          <w:lang w:val="en-US"/>
        </w:rPr>
        <w:t xml:space="preserve">ing </w:t>
      </w:r>
      <w:r w:rsidRPr="00ED3855">
        <w:rPr>
          <w:rFonts w:asciiTheme="majorBidi" w:eastAsia="Calibri" w:hAnsiTheme="majorBidi" w:cstheme="majorBidi"/>
          <w:b w:val="0"/>
          <w:bCs w:val="0"/>
          <w:sz w:val="24"/>
          <w:szCs w:val="24"/>
          <w:lang w:val="en-US"/>
        </w:rPr>
        <w:t>payments to IOCs</w:t>
      </w:r>
      <w:r w:rsidR="0068778C" w:rsidRPr="00ED3855">
        <w:rPr>
          <w:rFonts w:asciiTheme="majorBidi" w:eastAsia="Calibri" w:hAnsiTheme="majorBidi" w:cstheme="majorBidi"/>
          <w:b w:val="0"/>
          <w:bCs w:val="0"/>
          <w:sz w:val="24"/>
          <w:szCs w:val="24"/>
          <w:lang w:val="en-US"/>
        </w:rPr>
        <w:t xml:space="preserve">. </w:t>
      </w:r>
      <w:r w:rsidRPr="00ED3855">
        <w:rPr>
          <w:rFonts w:asciiTheme="majorBidi" w:eastAsia="Calibri" w:hAnsiTheme="majorBidi" w:cstheme="majorBidi"/>
          <w:b w:val="0"/>
          <w:bCs w:val="0"/>
          <w:sz w:val="24"/>
          <w:szCs w:val="24"/>
          <w:lang w:val="en-US"/>
        </w:rPr>
        <w:t xml:space="preserve"> </w:t>
      </w:r>
    </w:p>
    <w:p w:rsidR="00A8080A" w:rsidRPr="00ED3855" w:rsidRDefault="00A8080A"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F74F0B" w:rsidRPr="00ED3855" w:rsidRDefault="00A8080A"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estimation of the “added oil production” has the following </w:t>
      </w:r>
      <w:r w:rsidR="00F74F0B" w:rsidRPr="00ED3855">
        <w:rPr>
          <w:rFonts w:asciiTheme="majorBidi" w:eastAsia="Calibri" w:hAnsiTheme="majorBidi" w:cstheme="majorBidi"/>
          <w:b w:val="0"/>
          <w:bCs w:val="0"/>
          <w:sz w:val="24"/>
          <w:szCs w:val="24"/>
          <w:lang w:val="en-US"/>
        </w:rPr>
        <w:t>implications</w:t>
      </w:r>
      <w:r w:rsidRPr="00ED3855">
        <w:rPr>
          <w:rFonts w:asciiTheme="majorBidi" w:eastAsia="Calibri" w:hAnsiTheme="majorBidi" w:cstheme="majorBidi"/>
          <w:b w:val="0"/>
          <w:bCs w:val="0"/>
          <w:sz w:val="24"/>
          <w:szCs w:val="24"/>
          <w:lang w:val="en-US"/>
        </w:rPr>
        <w:t>:</w:t>
      </w:r>
    </w:p>
    <w:p w:rsidR="0056314D" w:rsidRPr="00ED3855" w:rsidRDefault="00F74F0B" w:rsidP="00ED3855">
      <w:pPr>
        <w:pStyle w:val="Heading1"/>
        <w:numPr>
          <w:ilvl w:val="0"/>
          <w:numId w:val="3"/>
        </w:numPr>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Total capital cost for this added oil production could range between $17.5 billion and $37.5 billion (in 2011 Dollars as per EIA). </w:t>
      </w:r>
    </w:p>
    <w:p w:rsidR="00B05733" w:rsidRDefault="00125499" w:rsidP="00B05733">
      <w:pPr>
        <w:pStyle w:val="Heading1"/>
        <w:spacing w:before="0" w:beforeAutospacing="0" w:after="0" w:afterAutospacing="0" w:line="276" w:lineRule="auto"/>
        <w:ind w:left="709"/>
        <w:rPr>
          <w:rFonts w:asciiTheme="majorBidi" w:eastAsia="Calibri" w:hAnsiTheme="majorBidi" w:cstheme="majorBidi"/>
          <w:b w:val="0"/>
          <w:bCs w:val="0"/>
          <w:sz w:val="24"/>
          <w:szCs w:val="24"/>
          <w:lang w:val="en-US"/>
        </w:rPr>
      </w:pPr>
      <w:r>
        <w:rPr>
          <w:rFonts w:asciiTheme="majorBidi" w:eastAsia="Calibri" w:hAnsiTheme="majorBidi" w:cstheme="majorBidi"/>
          <w:b w:val="0"/>
          <w:bCs w:val="0"/>
          <w:sz w:val="24"/>
          <w:szCs w:val="24"/>
          <w:lang w:val="en-US"/>
        </w:rPr>
        <w:t xml:space="preserve">Data collected from different sources indicates that what has been paid </w:t>
      </w:r>
      <w:r w:rsidR="00B05733">
        <w:rPr>
          <w:rFonts w:asciiTheme="majorBidi" w:eastAsia="Calibri" w:hAnsiTheme="majorBidi" w:cstheme="majorBidi"/>
          <w:b w:val="0"/>
          <w:bCs w:val="0"/>
          <w:sz w:val="24"/>
          <w:szCs w:val="24"/>
          <w:lang w:val="en-US"/>
        </w:rPr>
        <w:t xml:space="preserve">so far </w:t>
      </w:r>
      <w:r w:rsidR="00B05733">
        <w:rPr>
          <w:rFonts w:asciiTheme="majorBidi" w:eastAsia="Calibri" w:hAnsiTheme="majorBidi" w:cstheme="majorBidi"/>
          <w:b w:val="0"/>
          <w:bCs w:val="0"/>
          <w:sz w:val="24"/>
          <w:szCs w:val="24"/>
          <w:lang w:val="en-US"/>
        </w:rPr>
        <w:t xml:space="preserve">to IOCs for cost recovery </w:t>
      </w:r>
      <w:r>
        <w:rPr>
          <w:rFonts w:asciiTheme="majorBidi" w:eastAsia="Calibri" w:hAnsiTheme="majorBidi" w:cstheme="majorBidi"/>
          <w:b w:val="0"/>
          <w:bCs w:val="0"/>
          <w:sz w:val="24"/>
          <w:szCs w:val="24"/>
          <w:lang w:val="en-US"/>
        </w:rPr>
        <w:t>is well over $26 billion</w:t>
      </w:r>
      <w:r w:rsidR="00B05733">
        <w:rPr>
          <w:rFonts w:asciiTheme="majorBidi" w:eastAsia="Calibri" w:hAnsiTheme="majorBidi" w:cstheme="majorBidi"/>
          <w:b w:val="0"/>
          <w:bCs w:val="0"/>
          <w:sz w:val="24"/>
          <w:szCs w:val="24"/>
          <w:lang w:val="en-US"/>
        </w:rPr>
        <w:t xml:space="preserve"> excluding dues for 2015 Work Programs</w:t>
      </w:r>
      <w:r>
        <w:rPr>
          <w:rFonts w:asciiTheme="majorBidi" w:eastAsia="Calibri" w:hAnsiTheme="majorBidi" w:cstheme="majorBidi"/>
          <w:b w:val="0"/>
          <w:bCs w:val="0"/>
          <w:sz w:val="24"/>
          <w:szCs w:val="24"/>
          <w:lang w:val="en-US"/>
        </w:rPr>
        <w:t xml:space="preserve">. </w:t>
      </w:r>
    </w:p>
    <w:p w:rsidR="00F74F0B" w:rsidRPr="00ED3855" w:rsidRDefault="00125499" w:rsidP="00B05733">
      <w:pPr>
        <w:pStyle w:val="Heading1"/>
        <w:spacing w:before="0" w:beforeAutospacing="0" w:after="0" w:afterAutospacing="0" w:line="276" w:lineRule="auto"/>
        <w:ind w:left="709"/>
        <w:rPr>
          <w:rFonts w:asciiTheme="majorBidi" w:eastAsia="Calibri" w:hAnsiTheme="majorBidi" w:cstheme="majorBidi"/>
          <w:b w:val="0"/>
          <w:bCs w:val="0"/>
          <w:sz w:val="24"/>
          <w:szCs w:val="24"/>
          <w:lang w:val="en-US"/>
        </w:rPr>
      </w:pPr>
      <w:r>
        <w:rPr>
          <w:rFonts w:asciiTheme="majorBidi" w:eastAsia="Calibri" w:hAnsiTheme="majorBidi" w:cstheme="majorBidi"/>
          <w:b w:val="0"/>
          <w:bCs w:val="0"/>
          <w:sz w:val="24"/>
          <w:szCs w:val="24"/>
          <w:lang w:val="en-US"/>
        </w:rPr>
        <w:t xml:space="preserve">Thus, </w:t>
      </w:r>
      <w:r w:rsidR="00A8080A" w:rsidRPr="00ED3855">
        <w:rPr>
          <w:rFonts w:asciiTheme="majorBidi" w:eastAsia="Calibri" w:hAnsiTheme="majorBidi" w:cstheme="majorBidi"/>
          <w:b w:val="0"/>
          <w:bCs w:val="0"/>
          <w:sz w:val="24"/>
          <w:szCs w:val="24"/>
          <w:lang w:val="en-US"/>
        </w:rPr>
        <w:t>t</w:t>
      </w:r>
      <w:r w:rsidR="00F74F0B" w:rsidRPr="00ED3855">
        <w:rPr>
          <w:rFonts w:asciiTheme="majorBidi" w:eastAsia="Calibri" w:hAnsiTheme="majorBidi" w:cstheme="majorBidi"/>
          <w:b w:val="0"/>
          <w:bCs w:val="0"/>
          <w:sz w:val="24"/>
          <w:szCs w:val="24"/>
          <w:lang w:val="en-US"/>
        </w:rPr>
        <w:t>he Ministry of Oil has to provide accurate data on actual capital cost paid</w:t>
      </w:r>
      <w:r w:rsidR="00A8080A" w:rsidRPr="00ED3855">
        <w:rPr>
          <w:rFonts w:asciiTheme="majorBidi" w:eastAsia="Calibri" w:hAnsiTheme="majorBidi" w:cstheme="majorBidi"/>
          <w:b w:val="0"/>
          <w:bCs w:val="0"/>
          <w:sz w:val="24"/>
          <w:szCs w:val="24"/>
          <w:lang w:val="en-US"/>
        </w:rPr>
        <w:t xml:space="preserve"> already and the </w:t>
      </w:r>
      <w:r w:rsidR="00F74F0B" w:rsidRPr="00ED3855">
        <w:rPr>
          <w:rFonts w:asciiTheme="majorBidi" w:eastAsia="Calibri" w:hAnsiTheme="majorBidi" w:cstheme="majorBidi"/>
          <w:b w:val="0"/>
          <w:bCs w:val="0"/>
          <w:sz w:val="24"/>
          <w:szCs w:val="24"/>
          <w:lang w:val="en-US"/>
        </w:rPr>
        <w:t xml:space="preserve">payable </w:t>
      </w:r>
      <w:r w:rsidR="00882B14">
        <w:rPr>
          <w:rFonts w:asciiTheme="majorBidi" w:eastAsia="Calibri" w:hAnsiTheme="majorBidi" w:cstheme="majorBidi"/>
          <w:b w:val="0"/>
          <w:bCs w:val="0"/>
          <w:sz w:val="24"/>
          <w:szCs w:val="24"/>
          <w:lang w:val="en-US"/>
        </w:rPr>
        <w:t xml:space="preserve">up to </w:t>
      </w:r>
      <w:r w:rsidR="00F74F0B" w:rsidRPr="00ED3855">
        <w:rPr>
          <w:rFonts w:asciiTheme="majorBidi" w:eastAsia="Calibri" w:hAnsiTheme="majorBidi" w:cstheme="majorBidi"/>
          <w:b w:val="0"/>
          <w:bCs w:val="0"/>
          <w:sz w:val="24"/>
          <w:szCs w:val="24"/>
          <w:lang w:val="en-US"/>
        </w:rPr>
        <w:t>end 2015</w:t>
      </w:r>
      <w:r w:rsidR="0056314D" w:rsidRPr="00ED3855">
        <w:rPr>
          <w:rFonts w:asciiTheme="majorBidi" w:eastAsia="Calibri" w:hAnsiTheme="majorBidi" w:cstheme="majorBidi"/>
          <w:b w:val="0"/>
          <w:bCs w:val="0"/>
          <w:sz w:val="24"/>
          <w:szCs w:val="24"/>
          <w:lang w:val="en-US"/>
        </w:rPr>
        <w:t xml:space="preserve"> to avoid the confusion caused by different statements made by different sources</w:t>
      </w:r>
      <w:r w:rsidR="00A8080A" w:rsidRPr="00ED3855">
        <w:rPr>
          <w:rFonts w:asciiTheme="majorBidi" w:eastAsia="Calibri" w:hAnsiTheme="majorBidi" w:cstheme="majorBidi"/>
          <w:b w:val="0"/>
          <w:bCs w:val="0"/>
          <w:sz w:val="24"/>
          <w:szCs w:val="24"/>
          <w:lang w:val="en-US"/>
        </w:rPr>
        <w:t>- informed or otherwise</w:t>
      </w:r>
      <w:r w:rsidR="00882B14">
        <w:rPr>
          <w:rFonts w:asciiTheme="majorBidi" w:eastAsia="Calibri" w:hAnsiTheme="majorBidi" w:cstheme="majorBidi"/>
          <w:b w:val="0"/>
          <w:bCs w:val="0"/>
          <w:sz w:val="24"/>
          <w:szCs w:val="24"/>
          <w:lang w:val="en-US"/>
        </w:rPr>
        <w:t>.</w:t>
      </w:r>
      <w:r w:rsidR="0056314D" w:rsidRPr="00ED3855">
        <w:rPr>
          <w:rFonts w:asciiTheme="majorBidi" w:eastAsia="Calibri" w:hAnsiTheme="majorBidi" w:cstheme="majorBidi"/>
          <w:b w:val="0"/>
          <w:bCs w:val="0"/>
          <w:sz w:val="24"/>
          <w:szCs w:val="24"/>
          <w:lang w:val="en-US"/>
        </w:rPr>
        <w:t xml:space="preserve">; </w:t>
      </w:r>
    </w:p>
    <w:p w:rsidR="00F74F0B" w:rsidRPr="00ED3855" w:rsidRDefault="00F74F0B" w:rsidP="00ED3855">
      <w:pPr>
        <w:pStyle w:val="Heading1"/>
        <w:numPr>
          <w:ilvl w:val="0"/>
          <w:numId w:val="3"/>
        </w:numPr>
        <w:autoSpaceDE w:val="0"/>
        <w:autoSpaceDN w:val="0"/>
        <w:adjustRightInd w:val="0"/>
        <w:spacing w:before="0" w:beforeAutospacing="0" w:after="0" w:afterAutospacing="0" w:line="276" w:lineRule="auto"/>
        <w:rPr>
          <w:rFonts w:asciiTheme="majorBid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Maximum daily remuneration fee for the IOCs services (at R-factor of equal or less than one) </w:t>
      </w:r>
      <w:r w:rsidR="008D3686" w:rsidRPr="00ED3855">
        <w:rPr>
          <w:rFonts w:asciiTheme="majorBidi" w:eastAsia="Calibri" w:hAnsiTheme="majorBidi" w:cstheme="majorBidi"/>
          <w:b w:val="0"/>
          <w:bCs w:val="0"/>
          <w:sz w:val="24"/>
          <w:szCs w:val="24"/>
          <w:lang w:val="en-US"/>
        </w:rPr>
        <w:t>is</w:t>
      </w:r>
      <w:r w:rsidRPr="00ED3855">
        <w:rPr>
          <w:rFonts w:asciiTheme="majorBidi" w:eastAsia="Calibri" w:hAnsiTheme="majorBidi" w:cstheme="majorBidi"/>
          <w:b w:val="0"/>
          <w:bCs w:val="0"/>
          <w:sz w:val="24"/>
          <w:szCs w:val="24"/>
          <w:lang w:val="en-US"/>
        </w:rPr>
        <w:t xml:space="preserve"> $2.5 million (at Net Weighted Average of $1/b); </w:t>
      </w:r>
    </w:p>
    <w:p w:rsidR="00A8080A" w:rsidRPr="00ED3855" w:rsidRDefault="00F74F0B" w:rsidP="00ED3855">
      <w:pPr>
        <w:pStyle w:val="Heading1"/>
        <w:numPr>
          <w:ilvl w:val="0"/>
          <w:numId w:val="3"/>
        </w:numPr>
        <w:autoSpaceDE w:val="0"/>
        <w:autoSpaceDN w:val="0"/>
        <w:adjustRightInd w:val="0"/>
        <w:spacing w:before="0" w:beforeAutospacing="0" w:after="0" w:afterAutospacing="0" w:line="276" w:lineRule="auto"/>
        <w:rPr>
          <w:rFonts w:asciiTheme="majorBidi" w:hAnsiTheme="majorBidi" w:cstheme="majorBidi"/>
          <w:sz w:val="24"/>
          <w:szCs w:val="24"/>
          <w:lang w:val="en-US"/>
        </w:rPr>
      </w:pPr>
      <w:r w:rsidRPr="00ED3855">
        <w:rPr>
          <w:rFonts w:asciiTheme="majorBidi" w:hAnsiTheme="majorBidi" w:cstheme="majorBidi"/>
          <w:b w:val="0"/>
          <w:bCs w:val="0"/>
          <w:sz w:val="24"/>
          <w:szCs w:val="24"/>
          <w:lang w:val="en-US"/>
        </w:rPr>
        <w:t xml:space="preserve">Service Fees, which includes Petroleum Costs and Remuneration Fees, are payable to the extent of (50%) of the deemed revenues of the </w:t>
      </w:r>
      <w:r w:rsidR="00112CC3" w:rsidRPr="00ED3855">
        <w:rPr>
          <w:rFonts w:asciiTheme="majorBidi" w:hAnsiTheme="majorBidi" w:cstheme="majorBidi"/>
          <w:b w:val="0"/>
          <w:bCs w:val="0"/>
          <w:sz w:val="24"/>
          <w:szCs w:val="24"/>
          <w:lang w:val="en-US"/>
        </w:rPr>
        <w:t xml:space="preserve">added production </w:t>
      </w:r>
      <w:r w:rsidRPr="00ED3855">
        <w:rPr>
          <w:rFonts w:asciiTheme="majorBidi" w:hAnsiTheme="majorBidi" w:cstheme="majorBidi"/>
          <w:b w:val="0"/>
          <w:bCs w:val="0"/>
          <w:sz w:val="24"/>
          <w:szCs w:val="24"/>
          <w:lang w:val="en-US"/>
        </w:rPr>
        <w:t>(</w:t>
      </w:r>
      <w:r w:rsidR="00112CC3" w:rsidRPr="00ED3855">
        <w:rPr>
          <w:rFonts w:asciiTheme="majorBidi" w:hAnsiTheme="majorBidi" w:cstheme="majorBidi"/>
          <w:b w:val="0"/>
          <w:bCs w:val="0"/>
          <w:sz w:val="24"/>
          <w:szCs w:val="24"/>
          <w:lang w:val="en-US"/>
        </w:rPr>
        <w:t xml:space="preserve">i.e., </w:t>
      </w:r>
      <w:r w:rsidRPr="00ED3855">
        <w:rPr>
          <w:rFonts w:asciiTheme="majorBidi" w:hAnsiTheme="majorBidi" w:cstheme="majorBidi"/>
          <w:b w:val="0"/>
          <w:bCs w:val="0"/>
          <w:sz w:val="24"/>
          <w:szCs w:val="24"/>
          <w:lang w:val="en-US"/>
        </w:rPr>
        <w:t xml:space="preserve">Incremental Production for BR1 and total production (for BR2). </w:t>
      </w:r>
    </w:p>
    <w:p w:rsidR="00F74F0B" w:rsidRPr="00ED3855" w:rsidRDefault="00F74F0B" w:rsidP="00ED3855">
      <w:pPr>
        <w:pStyle w:val="Heading1"/>
        <w:autoSpaceDE w:val="0"/>
        <w:autoSpaceDN w:val="0"/>
        <w:adjustRightInd w:val="0"/>
        <w:spacing w:before="0" w:beforeAutospacing="0" w:after="0" w:afterAutospacing="0" w:line="276" w:lineRule="auto"/>
        <w:ind w:left="709"/>
        <w:rPr>
          <w:rFonts w:asciiTheme="majorBidi" w:hAnsiTheme="majorBidi" w:cstheme="majorBidi"/>
          <w:sz w:val="24"/>
          <w:szCs w:val="24"/>
          <w:lang w:val="en-US"/>
        </w:rPr>
      </w:pPr>
      <w:r w:rsidRPr="00ED3855">
        <w:rPr>
          <w:rFonts w:asciiTheme="majorBidi" w:hAnsiTheme="majorBidi" w:cstheme="majorBidi"/>
          <w:b w:val="0"/>
          <w:bCs w:val="0"/>
          <w:sz w:val="24"/>
          <w:szCs w:val="24"/>
          <w:lang w:val="en-US"/>
        </w:rPr>
        <w:t>Any due and payable Service Fees that remain unpaid in respect of any Calendar Quarter shall be carried forward and paid in succeeding Quarter(s) until fully paid.</w:t>
      </w:r>
      <w:r w:rsidRPr="00ED3855">
        <w:rPr>
          <w:rFonts w:asciiTheme="majorBidi" w:hAnsiTheme="majorBidi" w:cstheme="majorBidi"/>
          <w:sz w:val="24"/>
          <w:szCs w:val="24"/>
          <w:lang w:val="en-US"/>
        </w:rPr>
        <w:t xml:space="preserve"> </w:t>
      </w:r>
    </w:p>
    <w:p w:rsidR="000A0DFB" w:rsidRDefault="000A0DFB" w:rsidP="00ED3855">
      <w:pPr>
        <w:spacing w:after="0"/>
        <w:rPr>
          <w:rFonts w:asciiTheme="majorBidi" w:hAnsiTheme="majorBidi" w:cstheme="majorBidi"/>
          <w:sz w:val="24"/>
          <w:szCs w:val="24"/>
          <w:lang w:val="en-US"/>
        </w:rPr>
      </w:pPr>
    </w:p>
    <w:p w:rsidR="00F31675" w:rsidRPr="00ED3855" w:rsidRDefault="00F31675" w:rsidP="00ED3855">
      <w:p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There are many misconceptions</w:t>
      </w:r>
      <w:r w:rsidR="00661016" w:rsidRPr="00ED3855">
        <w:rPr>
          <w:rFonts w:asciiTheme="majorBidi" w:hAnsiTheme="majorBidi" w:cstheme="majorBidi"/>
          <w:sz w:val="24"/>
          <w:szCs w:val="24"/>
          <w:lang w:val="en-US"/>
        </w:rPr>
        <w:t xml:space="preserve">, </w:t>
      </w:r>
      <w:r w:rsidR="005A1311" w:rsidRPr="00ED3855">
        <w:rPr>
          <w:rFonts w:asciiTheme="majorBidi" w:hAnsiTheme="majorBidi" w:cstheme="majorBidi"/>
          <w:sz w:val="24"/>
          <w:szCs w:val="24"/>
          <w:lang w:val="en-US"/>
        </w:rPr>
        <w:t xml:space="preserve">by </w:t>
      </w:r>
      <w:r w:rsidR="00661016" w:rsidRPr="00ED3855">
        <w:rPr>
          <w:rFonts w:asciiTheme="majorBidi" w:hAnsiTheme="majorBidi" w:cstheme="majorBidi"/>
          <w:sz w:val="24"/>
          <w:szCs w:val="24"/>
          <w:lang w:val="en-US"/>
        </w:rPr>
        <w:t xml:space="preserve">intention or omission, circulated now-and-then regarding the above; and during the time of </w:t>
      </w:r>
      <w:r w:rsidR="005A1311" w:rsidRPr="00ED3855">
        <w:rPr>
          <w:rFonts w:asciiTheme="majorBidi" w:hAnsiTheme="majorBidi" w:cstheme="majorBidi"/>
          <w:sz w:val="24"/>
          <w:szCs w:val="24"/>
          <w:lang w:val="en-US"/>
        </w:rPr>
        <w:t xml:space="preserve">low </w:t>
      </w:r>
      <w:r w:rsidR="00661016" w:rsidRPr="00ED3855">
        <w:rPr>
          <w:rFonts w:asciiTheme="majorBidi" w:hAnsiTheme="majorBidi" w:cstheme="majorBidi"/>
          <w:sz w:val="24"/>
          <w:szCs w:val="24"/>
          <w:lang w:val="en-US"/>
        </w:rPr>
        <w:t xml:space="preserve">oil price </w:t>
      </w:r>
      <w:r w:rsidR="005A1311" w:rsidRPr="00ED3855">
        <w:rPr>
          <w:rFonts w:asciiTheme="majorBidi" w:hAnsiTheme="majorBidi" w:cstheme="majorBidi"/>
          <w:sz w:val="24"/>
          <w:szCs w:val="24"/>
          <w:lang w:val="en-US"/>
        </w:rPr>
        <w:t>régime</w:t>
      </w:r>
      <w:r w:rsidR="00661016" w:rsidRPr="00ED3855">
        <w:rPr>
          <w:rFonts w:asciiTheme="majorBidi" w:hAnsiTheme="majorBidi" w:cstheme="majorBidi"/>
          <w:sz w:val="24"/>
          <w:szCs w:val="24"/>
          <w:lang w:val="en-US"/>
        </w:rPr>
        <w:t xml:space="preserve"> such misconceptions becomes more frequent, fallacious and </w:t>
      </w:r>
      <w:r w:rsidR="005A1311" w:rsidRPr="00ED3855">
        <w:rPr>
          <w:rFonts w:asciiTheme="majorBidi" w:hAnsiTheme="majorBidi" w:cstheme="majorBidi"/>
          <w:sz w:val="24"/>
          <w:szCs w:val="24"/>
          <w:lang w:val="en-US"/>
        </w:rPr>
        <w:t>erroneous</w:t>
      </w:r>
      <w:r w:rsidR="00661016" w:rsidRPr="00ED3855">
        <w:rPr>
          <w:rFonts w:asciiTheme="majorBidi" w:hAnsiTheme="majorBidi" w:cstheme="majorBidi"/>
          <w:sz w:val="24"/>
          <w:szCs w:val="24"/>
          <w:lang w:val="en-US"/>
        </w:rPr>
        <w:t xml:space="preserve">. </w:t>
      </w:r>
      <w:r w:rsidR="00D509AE" w:rsidRPr="00ED3855">
        <w:rPr>
          <w:rFonts w:asciiTheme="majorBidi" w:hAnsiTheme="majorBidi" w:cstheme="majorBidi"/>
          <w:sz w:val="24"/>
          <w:szCs w:val="24"/>
          <w:lang w:val="en-US"/>
        </w:rPr>
        <w:t xml:space="preserve">Examples of such misconceptions are IOCs take 50% of export revenues; </w:t>
      </w:r>
      <w:r w:rsidR="007D5854" w:rsidRPr="00ED3855">
        <w:rPr>
          <w:rFonts w:asciiTheme="majorBidi" w:hAnsiTheme="majorBidi" w:cstheme="majorBidi"/>
          <w:sz w:val="24"/>
          <w:szCs w:val="24"/>
          <w:lang w:val="en-US"/>
        </w:rPr>
        <w:t xml:space="preserve">remuneration fee is 4 dollar a barrel; Iraq spent $54 billion on the bid rounds; production cost under bid rounds is $40/barrel; etc. </w:t>
      </w:r>
    </w:p>
    <w:p w:rsidR="00616EEC" w:rsidRDefault="00616EEC" w:rsidP="00ED3855">
      <w:pPr>
        <w:spacing w:after="0"/>
        <w:rPr>
          <w:rFonts w:asciiTheme="majorBidi" w:hAnsiTheme="majorBidi" w:cstheme="majorBidi"/>
          <w:b/>
          <w:bCs/>
          <w:sz w:val="24"/>
          <w:szCs w:val="24"/>
          <w:lang w:val="en-US"/>
        </w:rPr>
      </w:pPr>
    </w:p>
    <w:p w:rsidR="003A31AB" w:rsidRPr="003A31AB" w:rsidRDefault="00AE0B09" w:rsidP="003A31AB">
      <w:pPr>
        <w:spacing w:after="0"/>
        <w:ind w:left="851" w:hanging="851"/>
        <w:rPr>
          <w:rFonts w:asciiTheme="majorBidi" w:hAnsiTheme="majorBidi" w:cstheme="majorBidi"/>
          <w:sz w:val="24"/>
          <w:szCs w:val="24"/>
          <w:lang w:val="en-US"/>
        </w:rPr>
      </w:pPr>
      <w:r w:rsidRPr="003A31AB">
        <w:rPr>
          <w:rFonts w:asciiTheme="majorBidi" w:hAnsiTheme="majorBidi" w:cstheme="majorBidi"/>
          <w:b/>
          <w:bCs/>
          <w:sz w:val="24"/>
          <w:szCs w:val="24"/>
          <w:lang w:val="en-US"/>
        </w:rPr>
        <w:t xml:space="preserve">Second; </w:t>
      </w:r>
      <w:r w:rsidR="003A31AB" w:rsidRPr="003A31AB">
        <w:rPr>
          <w:rFonts w:asciiTheme="majorBidi" w:hAnsiTheme="majorBidi" w:cstheme="majorBidi"/>
          <w:b/>
          <w:bCs/>
          <w:sz w:val="24"/>
          <w:szCs w:val="24"/>
          <w:lang w:val="en-US"/>
        </w:rPr>
        <w:t>The comparison of “service cost” under these LTSC against the corresponding cost under Production Sharing Contracts-PSCs;</w:t>
      </w:r>
    </w:p>
    <w:p w:rsidR="004875A9" w:rsidRPr="00ED3855" w:rsidRDefault="004E2D09" w:rsidP="001950F0">
      <w:p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The comparison between </w:t>
      </w:r>
      <w:r w:rsidR="00E52DEF">
        <w:rPr>
          <w:rFonts w:asciiTheme="majorBidi" w:hAnsiTheme="majorBidi" w:cstheme="majorBidi"/>
          <w:sz w:val="24"/>
          <w:szCs w:val="24"/>
          <w:lang w:val="en-US"/>
        </w:rPr>
        <w:t xml:space="preserve">different contracting modalities </w:t>
      </w:r>
      <w:r w:rsidRPr="00ED3855">
        <w:rPr>
          <w:rFonts w:asciiTheme="majorBidi" w:hAnsiTheme="majorBidi" w:cstheme="majorBidi"/>
          <w:sz w:val="24"/>
          <w:szCs w:val="24"/>
          <w:lang w:val="en-US"/>
        </w:rPr>
        <w:t xml:space="preserve">depends </w:t>
      </w:r>
      <w:r w:rsidR="004875A9" w:rsidRPr="00ED3855">
        <w:rPr>
          <w:rFonts w:asciiTheme="majorBidi" w:hAnsiTheme="majorBidi" w:cstheme="majorBidi"/>
          <w:sz w:val="24"/>
          <w:szCs w:val="24"/>
          <w:lang w:val="en-US"/>
        </w:rPr>
        <w:t xml:space="preserve">largely </w:t>
      </w:r>
      <w:r w:rsidRPr="00ED3855">
        <w:rPr>
          <w:rFonts w:asciiTheme="majorBidi" w:hAnsiTheme="majorBidi" w:cstheme="majorBidi"/>
          <w:sz w:val="24"/>
          <w:szCs w:val="24"/>
          <w:lang w:val="en-US"/>
        </w:rPr>
        <w:t xml:space="preserve">on the </w:t>
      </w:r>
      <w:r w:rsidR="004875A9" w:rsidRPr="00ED3855">
        <w:rPr>
          <w:rFonts w:asciiTheme="majorBidi" w:hAnsiTheme="majorBidi" w:cstheme="majorBidi"/>
          <w:sz w:val="24"/>
          <w:szCs w:val="24"/>
          <w:lang w:val="en-US"/>
        </w:rPr>
        <w:t xml:space="preserve">contractual </w:t>
      </w:r>
      <w:r w:rsidRPr="00ED3855">
        <w:rPr>
          <w:rFonts w:asciiTheme="majorBidi" w:hAnsiTheme="majorBidi" w:cstheme="majorBidi"/>
          <w:sz w:val="24"/>
          <w:szCs w:val="24"/>
          <w:lang w:val="en-US"/>
        </w:rPr>
        <w:t>terms and conditions</w:t>
      </w:r>
      <w:r w:rsidR="000A0DFB">
        <w:rPr>
          <w:rFonts w:asciiTheme="majorBidi" w:hAnsiTheme="majorBidi" w:cstheme="majorBidi"/>
          <w:sz w:val="24"/>
          <w:szCs w:val="24"/>
          <w:lang w:val="en-US"/>
        </w:rPr>
        <w:t xml:space="preserve"> of </w:t>
      </w:r>
      <w:r w:rsidR="00E52DEF">
        <w:rPr>
          <w:rFonts w:asciiTheme="majorBidi" w:hAnsiTheme="majorBidi" w:cstheme="majorBidi"/>
          <w:sz w:val="24"/>
          <w:szCs w:val="24"/>
          <w:lang w:val="en-US"/>
        </w:rPr>
        <w:t xml:space="preserve">these </w:t>
      </w:r>
      <w:r w:rsidR="000A0DFB">
        <w:rPr>
          <w:rFonts w:asciiTheme="majorBidi" w:hAnsiTheme="majorBidi" w:cstheme="majorBidi"/>
          <w:sz w:val="24"/>
          <w:szCs w:val="24"/>
          <w:lang w:val="en-US"/>
        </w:rPr>
        <w:t>contracting instruments</w:t>
      </w:r>
      <w:r w:rsidR="004875A9" w:rsidRPr="00ED3855">
        <w:rPr>
          <w:rFonts w:asciiTheme="majorBidi" w:hAnsiTheme="majorBidi" w:cstheme="majorBidi"/>
          <w:sz w:val="24"/>
          <w:szCs w:val="24"/>
          <w:lang w:val="en-US"/>
        </w:rPr>
        <w:t xml:space="preserve">. </w:t>
      </w:r>
      <w:r w:rsidR="00E52DEF">
        <w:rPr>
          <w:rFonts w:asciiTheme="majorBidi" w:hAnsiTheme="majorBidi" w:cstheme="majorBidi"/>
          <w:sz w:val="24"/>
          <w:szCs w:val="24"/>
          <w:lang w:val="en-US"/>
        </w:rPr>
        <w:t>Different models and methods, with varying complexity, data requirements</w:t>
      </w:r>
      <w:r w:rsidR="009038D5">
        <w:rPr>
          <w:rFonts w:asciiTheme="majorBidi" w:hAnsiTheme="majorBidi" w:cstheme="majorBidi"/>
          <w:sz w:val="24"/>
          <w:szCs w:val="24"/>
          <w:lang w:val="en-US"/>
        </w:rPr>
        <w:t xml:space="preserve">, </w:t>
      </w:r>
      <w:r w:rsidR="001950F0">
        <w:rPr>
          <w:rFonts w:asciiTheme="majorBidi" w:hAnsiTheme="majorBidi" w:cstheme="majorBidi"/>
          <w:sz w:val="24"/>
          <w:szCs w:val="24"/>
          <w:lang w:val="en-US"/>
        </w:rPr>
        <w:t xml:space="preserve">elaborated </w:t>
      </w:r>
      <w:r w:rsidR="009038D5">
        <w:rPr>
          <w:rFonts w:asciiTheme="majorBidi" w:hAnsiTheme="majorBidi" w:cstheme="majorBidi"/>
          <w:sz w:val="24"/>
          <w:szCs w:val="24"/>
          <w:lang w:val="en-US"/>
        </w:rPr>
        <w:t>cash-flow anal</w:t>
      </w:r>
      <w:r w:rsidR="001950F0">
        <w:rPr>
          <w:rFonts w:asciiTheme="majorBidi" w:hAnsiTheme="majorBidi" w:cstheme="majorBidi"/>
          <w:sz w:val="24"/>
          <w:szCs w:val="24"/>
          <w:lang w:val="en-US"/>
        </w:rPr>
        <w:t>ysis,</w:t>
      </w:r>
      <w:r w:rsidR="00E52DEF">
        <w:rPr>
          <w:rFonts w:asciiTheme="majorBidi" w:hAnsiTheme="majorBidi" w:cstheme="majorBidi"/>
          <w:sz w:val="24"/>
          <w:szCs w:val="24"/>
          <w:lang w:val="en-US"/>
        </w:rPr>
        <w:t xml:space="preserve"> </w:t>
      </w:r>
      <w:r w:rsidR="00183A34">
        <w:rPr>
          <w:rFonts w:asciiTheme="majorBidi" w:hAnsiTheme="majorBidi" w:cstheme="majorBidi"/>
          <w:sz w:val="24"/>
          <w:szCs w:val="24"/>
          <w:lang w:val="en-US"/>
        </w:rPr>
        <w:t>cost</w:t>
      </w:r>
      <w:r w:rsidR="001950F0">
        <w:rPr>
          <w:rFonts w:asciiTheme="majorBidi" w:hAnsiTheme="majorBidi" w:cstheme="majorBidi"/>
          <w:sz w:val="24"/>
          <w:szCs w:val="24"/>
          <w:lang w:val="en-US"/>
        </w:rPr>
        <w:t xml:space="preserve"> </w:t>
      </w:r>
      <w:proofErr w:type="spellStart"/>
      <w:r w:rsidR="001950F0">
        <w:rPr>
          <w:rFonts w:asciiTheme="majorBidi" w:hAnsiTheme="majorBidi" w:cstheme="majorBidi"/>
          <w:sz w:val="24"/>
          <w:szCs w:val="24"/>
          <w:lang w:val="en-US"/>
        </w:rPr>
        <w:t>etc</w:t>
      </w:r>
      <w:proofErr w:type="spellEnd"/>
      <w:r w:rsidR="00E52DEF">
        <w:rPr>
          <w:rFonts w:asciiTheme="majorBidi" w:hAnsiTheme="majorBidi" w:cstheme="majorBidi"/>
          <w:sz w:val="24"/>
          <w:szCs w:val="24"/>
          <w:lang w:val="en-US"/>
        </w:rPr>
        <w:t xml:space="preserve">, were used to </w:t>
      </w:r>
      <w:r w:rsidR="00183A34">
        <w:rPr>
          <w:rFonts w:asciiTheme="majorBidi" w:hAnsiTheme="majorBidi" w:cstheme="majorBidi"/>
          <w:sz w:val="24"/>
          <w:szCs w:val="24"/>
          <w:lang w:val="en-US"/>
        </w:rPr>
        <w:t xml:space="preserve">undertake </w:t>
      </w:r>
      <w:r w:rsidR="00330FE4">
        <w:rPr>
          <w:rFonts w:asciiTheme="majorBidi" w:hAnsiTheme="majorBidi" w:cstheme="majorBidi"/>
          <w:sz w:val="24"/>
          <w:szCs w:val="24"/>
          <w:lang w:val="en-US"/>
        </w:rPr>
        <w:t xml:space="preserve">such comparison. </w:t>
      </w:r>
      <w:r w:rsidR="00183A34">
        <w:rPr>
          <w:rFonts w:asciiTheme="majorBidi" w:hAnsiTheme="majorBidi" w:cstheme="majorBidi"/>
          <w:sz w:val="24"/>
          <w:szCs w:val="24"/>
          <w:lang w:val="en-US"/>
        </w:rPr>
        <w:t>IOCs and international consulting firms usually use the most sophisticated</w:t>
      </w:r>
      <w:r w:rsidR="009038D5">
        <w:rPr>
          <w:rFonts w:asciiTheme="majorBidi" w:hAnsiTheme="majorBidi" w:cstheme="majorBidi"/>
          <w:sz w:val="24"/>
          <w:szCs w:val="24"/>
          <w:lang w:val="en-US"/>
        </w:rPr>
        <w:t>,</w:t>
      </w:r>
      <w:r w:rsidR="00183A34">
        <w:rPr>
          <w:rFonts w:asciiTheme="majorBidi" w:hAnsiTheme="majorBidi" w:cstheme="majorBidi"/>
          <w:sz w:val="24"/>
          <w:szCs w:val="24"/>
          <w:lang w:val="en-US"/>
        </w:rPr>
        <w:t xml:space="preserve"> costly </w:t>
      </w:r>
      <w:r w:rsidR="00330FE4">
        <w:rPr>
          <w:rFonts w:asciiTheme="majorBidi" w:hAnsiTheme="majorBidi" w:cstheme="majorBidi"/>
          <w:sz w:val="24"/>
          <w:szCs w:val="24"/>
          <w:lang w:val="en-US"/>
        </w:rPr>
        <w:t xml:space="preserve">models </w:t>
      </w:r>
      <w:r w:rsidR="009038D5">
        <w:rPr>
          <w:rFonts w:asciiTheme="majorBidi" w:hAnsiTheme="majorBidi" w:cstheme="majorBidi"/>
          <w:sz w:val="24"/>
          <w:szCs w:val="24"/>
          <w:lang w:val="en-US"/>
        </w:rPr>
        <w:t xml:space="preserve">and have their highly specialized human resources. </w:t>
      </w:r>
      <w:r w:rsidR="00E52DEF">
        <w:rPr>
          <w:rFonts w:asciiTheme="majorBidi" w:hAnsiTheme="majorBidi" w:cstheme="majorBidi"/>
          <w:sz w:val="24"/>
          <w:szCs w:val="24"/>
          <w:lang w:val="en-US"/>
        </w:rPr>
        <w:t xml:space="preserve"> </w:t>
      </w:r>
    </w:p>
    <w:p w:rsidR="009038D5" w:rsidRDefault="009038D5" w:rsidP="00ED3855">
      <w:pPr>
        <w:spacing w:after="0"/>
        <w:rPr>
          <w:rFonts w:asciiTheme="majorBidi" w:hAnsiTheme="majorBidi" w:cstheme="majorBidi"/>
          <w:sz w:val="24"/>
          <w:szCs w:val="24"/>
          <w:lang w:val="en-US"/>
        </w:rPr>
      </w:pPr>
    </w:p>
    <w:p w:rsidR="00B00749" w:rsidRPr="00ED3855" w:rsidRDefault="001950F0" w:rsidP="000C4231">
      <w:pPr>
        <w:spacing w:after="0"/>
        <w:rPr>
          <w:rFonts w:asciiTheme="majorBidi" w:hAnsiTheme="majorBidi" w:cstheme="majorBidi"/>
          <w:sz w:val="24"/>
          <w:szCs w:val="24"/>
          <w:lang w:val="en-US"/>
        </w:rPr>
      </w:pPr>
      <w:r>
        <w:rPr>
          <w:rFonts w:asciiTheme="majorBidi" w:hAnsiTheme="majorBidi" w:cstheme="majorBidi"/>
          <w:sz w:val="24"/>
          <w:szCs w:val="24"/>
          <w:lang w:val="en-US"/>
        </w:rPr>
        <w:t>But f</w:t>
      </w:r>
      <w:r w:rsidR="004875A9" w:rsidRPr="00ED3855">
        <w:rPr>
          <w:rFonts w:asciiTheme="majorBidi" w:hAnsiTheme="majorBidi" w:cstheme="majorBidi"/>
          <w:sz w:val="24"/>
          <w:szCs w:val="24"/>
          <w:lang w:val="en-US"/>
        </w:rPr>
        <w:t>or our purpose the comparison</w:t>
      </w:r>
      <w:r w:rsidR="000C4231">
        <w:rPr>
          <w:rFonts w:asciiTheme="majorBidi" w:hAnsiTheme="majorBidi" w:cstheme="majorBidi"/>
          <w:sz w:val="24"/>
          <w:szCs w:val="24"/>
          <w:lang w:val="en-US"/>
        </w:rPr>
        <w:t xml:space="preserve"> between </w:t>
      </w:r>
      <w:r w:rsidRPr="00ED3855">
        <w:rPr>
          <w:rFonts w:asciiTheme="majorBidi" w:hAnsiTheme="majorBidi" w:cstheme="majorBidi"/>
          <w:sz w:val="24"/>
          <w:szCs w:val="24"/>
          <w:lang w:val="en-US"/>
        </w:rPr>
        <w:t xml:space="preserve">LTSC of the Federal Ministry of Oil and any PSC </w:t>
      </w:r>
      <w:r w:rsidR="004875A9" w:rsidRPr="00ED3855">
        <w:rPr>
          <w:rFonts w:asciiTheme="majorBidi" w:hAnsiTheme="majorBidi" w:cstheme="majorBidi"/>
          <w:sz w:val="24"/>
          <w:szCs w:val="24"/>
          <w:lang w:val="en-US"/>
        </w:rPr>
        <w:t xml:space="preserve">is based on </w:t>
      </w:r>
      <w:r w:rsidR="000C4231">
        <w:rPr>
          <w:rFonts w:asciiTheme="majorBidi" w:hAnsiTheme="majorBidi" w:cstheme="majorBidi"/>
          <w:sz w:val="24"/>
          <w:szCs w:val="24"/>
          <w:lang w:val="en-US"/>
        </w:rPr>
        <w:t xml:space="preserve">the </w:t>
      </w:r>
      <w:r w:rsidR="00EC4FA4">
        <w:rPr>
          <w:rFonts w:asciiTheme="majorBidi" w:hAnsiTheme="majorBidi" w:cstheme="majorBidi"/>
          <w:sz w:val="24"/>
          <w:szCs w:val="24"/>
          <w:lang w:val="en-US"/>
        </w:rPr>
        <w:t xml:space="preserve">Net </w:t>
      </w:r>
      <w:r w:rsidR="000C4231" w:rsidRPr="00ED3855">
        <w:rPr>
          <w:rFonts w:asciiTheme="majorBidi" w:hAnsiTheme="majorBidi" w:cstheme="majorBidi"/>
          <w:sz w:val="24"/>
          <w:szCs w:val="24"/>
          <w:lang w:val="en-US"/>
        </w:rPr>
        <w:t xml:space="preserve">IOCs-take </w:t>
      </w:r>
      <w:r w:rsidR="000C4231">
        <w:rPr>
          <w:rFonts w:asciiTheme="majorBidi" w:hAnsiTheme="majorBidi" w:cstheme="majorBidi"/>
          <w:sz w:val="24"/>
          <w:szCs w:val="24"/>
          <w:lang w:val="en-US"/>
        </w:rPr>
        <w:t>under both type</w:t>
      </w:r>
      <w:r w:rsidR="00EC4FA4">
        <w:rPr>
          <w:rFonts w:asciiTheme="majorBidi" w:hAnsiTheme="majorBidi" w:cstheme="majorBidi"/>
          <w:sz w:val="24"/>
          <w:szCs w:val="24"/>
          <w:lang w:val="en-US"/>
        </w:rPr>
        <w:t>s</w:t>
      </w:r>
      <w:r w:rsidR="000C4231">
        <w:rPr>
          <w:rFonts w:asciiTheme="majorBidi" w:hAnsiTheme="majorBidi" w:cstheme="majorBidi"/>
          <w:sz w:val="24"/>
          <w:szCs w:val="24"/>
          <w:lang w:val="en-US"/>
        </w:rPr>
        <w:t xml:space="preserve"> of contracts by using </w:t>
      </w:r>
      <w:r w:rsidR="00B00749" w:rsidRPr="00ED3855">
        <w:rPr>
          <w:rFonts w:asciiTheme="majorBidi" w:hAnsiTheme="majorBidi" w:cstheme="majorBidi"/>
          <w:sz w:val="24"/>
          <w:szCs w:val="24"/>
          <w:lang w:val="en-US"/>
        </w:rPr>
        <w:t>two parameters:</w:t>
      </w:r>
    </w:p>
    <w:p w:rsidR="00B00749" w:rsidRPr="00ED3855" w:rsidRDefault="00B00749" w:rsidP="00ED3855">
      <w:pPr>
        <w:pStyle w:val="ListParagraph"/>
        <w:numPr>
          <w:ilvl w:val="0"/>
          <w:numId w:val="1"/>
        </w:num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W</w:t>
      </w:r>
      <w:r w:rsidR="004875A9" w:rsidRPr="00ED3855">
        <w:rPr>
          <w:rFonts w:asciiTheme="majorBidi" w:hAnsiTheme="majorBidi" w:cstheme="majorBidi"/>
          <w:sz w:val="24"/>
          <w:szCs w:val="24"/>
          <w:lang w:val="en-US"/>
        </w:rPr>
        <w:t>hat the IOC</w:t>
      </w:r>
      <w:r w:rsidRPr="00ED3855">
        <w:rPr>
          <w:rFonts w:asciiTheme="majorBidi" w:hAnsiTheme="majorBidi" w:cstheme="majorBidi"/>
          <w:sz w:val="24"/>
          <w:szCs w:val="24"/>
          <w:lang w:val="en-US"/>
        </w:rPr>
        <w:t>s-</w:t>
      </w:r>
      <w:r w:rsidR="004875A9" w:rsidRPr="00ED3855">
        <w:rPr>
          <w:rFonts w:asciiTheme="majorBidi" w:hAnsiTheme="majorBidi" w:cstheme="majorBidi"/>
          <w:sz w:val="24"/>
          <w:szCs w:val="24"/>
          <w:lang w:val="en-US"/>
        </w:rPr>
        <w:t xml:space="preserve">take for their involvement </w:t>
      </w:r>
      <w:r w:rsidRPr="00ED3855">
        <w:rPr>
          <w:rFonts w:asciiTheme="majorBidi" w:hAnsiTheme="majorBidi" w:cstheme="majorBidi"/>
          <w:sz w:val="24"/>
          <w:szCs w:val="24"/>
          <w:lang w:val="en-US"/>
        </w:rPr>
        <w:t>u</w:t>
      </w:r>
      <w:r w:rsidR="004875A9" w:rsidRPr="00ED3855">
        <w:rPr>
          <w:rFonts w:asciiTheme="majorBidi" w:hAnsiTheme="majorBidi" w:cstheme="majorBidi"/>
          <w:sz w:val="24"/>
          <w:szCs w:val="24"/>
          <w:lang w:val="en-US"/>
        </w:rPr>
        <w:t>n</w:t>
      </w:r>
      <w:r w:rsidRPr="00ED3855">
        <w:rPr>
          <w:rFonts w:asciiTheme="majorBidi" w:hAnsiTheme="majorBidi" w:cstheme="majorBidi"/>
          <w:sz w:val="24"/>
          <w:szCs w:val="24"/>
          <w:lang w:val="en-US"/>
        </w:rPr>
        <w:t xml:space="preserve">der </w:t>
      </w:r>
      <w:r w:rsidR="004875A9" w:rsidRPr="00ED3855">
        <w:rPr>
          <w:rFonts w:asciiTheme="majorBidi" w:hAnsiTheme="majorBidi" w:cstheme="majorBidi"/>
          <w:sz w:val="24"/>
          <w:szCs w:val="24"/>
          <w:lang w:val="en-US"/>
        </w:rPr>
        <w:t>the</w:t>
      </w:r>
      <w:r w:rsidRPr="00ED3855">
        <w:rPr>
          <w:rFonts w:asciiTheme="majorBidi" w:hAnsiTheme="majorBidi" w:cstheme="majorBidi"/>
          <w:sz w:val="24"/>
          <w:szCs w:val="24"/>
          <w:lang w:val="en-US"/>
        </w:rPr>
        <w:t xml:space="preserve"> LTSC and PSC;</w:t>
      </w:r>
    </w:p>
    <w:p w:rsidR="004E2D09" w:rsidRPr="00ED3855" w:rsidRDefault="00B00749" w:rsidP="00ED3855">
      <w:pPr>
        <w:pStyle w:val="ListParagraph"/>
        <w:numPr>
          <w:ilvl w:val="0"/>
          <w:numId w:val="1"/>
        </w:num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The magnitude of such IOCs-take in the generated revenues due to their involvement. </w:t>
      </w:r>
      <w:r w:rsidR="004875A9" w:rsidRPr="00ED3855">
        <w:rPr>
          <w:rFonts w:asciiTheme="majorBidi" w:hAnsiTheme="majorBidi" w:cstheme="majorBidi"/>
          <w:sz w:val="24"/>
          <w:szCs w:val="24"/>
          <w:lang w:val="en-US"/>
        </w:rPr>
        <w:t xml:space="preserve">  </w:t>
      </w:r>
      <w:r w:rsidR="004E2D09" w:rsidRPr="00ED3855">
        <w:rPr>
          <w:rFonts w:asciiTheme="majorBidi" w:hAnsiTheme="majorBidi" w:cstheme="majorBidi"/>
          <w:sz w:val="24"/>
          <w:szCs w:val="24"/>
          <w:lang w:val="en-US"/>
        </w:rPr>
        <w:t xml:space="preserve"> </w:t>
      </w:r>
    </w:p>
    <w:p w:rsidR="000C4231" w:rsidRDefault="000C4231"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B00749" w:rsidRPr="00ED3855" w:rsidRDefault="00B00749"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w:t>
      </w:r>
      <w:r w:rsidR="00EC4FA4">
        <w:rPr>
          <w:rFonts w:asciiTheme="majorBidi" w:eastAsia="Calibri" w:hAnsiTheme="majorBidi" w:cstheme="majorBidi"/>
          <w:b w:val="0"/>
          <w:bCs w:val="0"/>
          <w:sz w:val="24"/>
          <w:szCs w:val="24"/>
          <w:lang w:val="en-US"/>
        </w:rPr>
        <w:t xml:space="preserve">Net </w:t>
      </w:r>
      <w:r w:rsidRPr="00ED3855">
        <w:rPr>
          <w:rFonts w:asciiTheme="majorBidi" w:eastAsia="Calibri" w:hAnsiTheme="majorBidi" w:cstheme="majorBidi"/>
          <w:b w:val="0"/>
          <w:bCs w:val="0"/>
          <w:sz w:val="24"/>
          <w:szCs w:val="24"/>
          <w:lang w:val="en-US"/>
        </w:rPr>
        <w:t>IOCs-take under</w:t>
      </w:r>
      <w:r w:rsidR="00764556" w:rsidRPr="00ED3855">
        <w:rPr>
          <w:rFonts w:asciiTheme="majorBidi" w:eastAsia="Calibri" w:hAnsiTheme="majorBidi" w:cstheme="majorBidi"/>
          <w:b w:val="0"/>
          <w:bCs w:val="0"/>
          <w:sz w:val="24"/>
          <w:szCs w:val="24"/>
          <w:lang w:val="en-US"/>
        </w:rPr>
        <w:t xml:space="preserve"> </w:t>
      </w:r>
      <w:r w:rsidR="00764556" w:rsidRPr="00ED3855">
        <w:rPr>
          <w:rFonts w:asciiTheme="majorBidi" w:hAnsiTheme="majorBidi" w:cstheme="majorBidi"/>
          <w:b w:val="0"/>
          <w:bCs w:val="0"/>
          <w:sz w:val="24"/>
          <w:szCs w:val="24"/>
          <w:lang w:val="en-US"/>
        </w:rPr>
        <w:t>LTSC of the Federal Ministry of Oil</w:t>
      </w:r>
      <w:r w:rsidRPr="00ED3855">
        <w:rPr>
          <w:rFonts w:asciiTheme="majorBidi" w:eastAsia="Calibri" w:hAnsiTheme="majorBidi" w:cstheme="majorBidi"/>
          <w:b w:val="0"/>
          <w:bCs w:val="0"/>
          <w:sz w:val="24"/>
          <w:szCs w:val="24"/>
          <w:lang w:val="en-US"/>
        </w:rPr>
        <w:t xml:space="preserve"> </w:t>
      </w:r>
      <w:r w:rsidR="00764556" w:rsidRPr="00ED3855">
        <w:rPr>
          <w:rFonts w:asciiTheme="majorBidi" w:eastAsia="Calibri" w:hAnsiTheme="majorBidi" w:cstheme="majorBidi"/>
          <w:b w:val="0"/>
          <w:bCs w:val="0"/>
          <w:sz w:val="24"/>
          <w:szCs w:val="24"/>
          <w:lang w:val="en-US"/>
        </w:rPr>
        <w:t xml:space="preserve">is determined, as calculated above, by the </w:t>
      </w:r>
      <w:r w:rsidR="00764556" w:rsidRPr="00ED3855">
        <w:rPr>
          <w:rFonts w:asciiTheme="majorBidi" w:eastAsia="Calibri" w:hAnsiTheme="majorBidi" w:cstheme="majorBidi"/>
          <w:b w:val="0"/>
          <w:bCs w:val="0"/>
          <w:sz w:val="24"/>
          <w:szCs w:val="24"/>
          <w:u w:val="single"/>
          <w:lang w:val="en-US"/>
        </w:rPr>
        <w:t xml:space="preserve">Net Weighted Average </w:t>
      </w:r>
      <w:r w:rsidR="00764556" w:rsidRPr="00ED3855">
        <w:rPr>
          <w:rFonts w:asciiTheme="majorBidi" w:eastAsia="Calibri" w:hAnsiTheme="majorBidi" w:cstheme="majorBidi"/>
          <w:b w:val="0"/>
          <w:bCs w:val="0"/>
          <w:sz w:val="24"/>
          <w:szCs w:val="24"/>
          <w:lang w:val="en-US"/>
        </w:rPr>
        <w:t>at a maximum of $1/b of added production. This maximum fee is “</w:t>
      </w:r>
      <w:r w:rsidR="00832299" w:rsidRPr="00ED3855">
        <w:rPr>
          <w:rFonts w:asciiTheme="majorBidi" w:eastAsia="Calibri" w:hAnsiTheme="majorBidi" w:cstheme="majorBidi"/>
          <w:b w:val="0"/>
          <w:bCs w:val="0"/>
          <w:sz w:val="24"/>
          <w:szCs w:val="24"/>
          <w:lang w:val="en-US"/>
        </w:rPr>
        <w:t>C</w:t>
      </w:r>
      <w:r w:rsidR="00764556" w:rsidRPr="00ED3855">
        <w:rPr>
          <w:rFonts w:asciiTheme="majorBidi" w:eastAsia="Calibri" w:hAnsiTheme="majorBidi" w:cstheme="majorBidi"/>
          <w:b w:val="0"/>
          <w:bCs w:val="0"/>
          <w:sz w:val="24"/>
          <w:szCs w:val="24"/>
          <w:lang w:val="en-US"/>
        </w:rPr>
        <w:t xml:space="preserve">onstant” in its monetary </w:t>
      </w:r>
      <w:r w:rsidR="00D66BAA" w:rsidRPr="00ED3855">
        <w:rPr>
          <w:rFonts w:asciiTheme="majorBidi" w:eastAsia="Calibri" w:hAnsiTheme="majorBidi" w:cstheme="majorBidi"/>
          <w:b w:val="0"/>
          <w:bCs w:val="0"/>
          <w:sz w:val="24"/>
          <w:szCs w:val="24"/>
          <w:lang w:val="en-US"/>
        </w:rPr>
        <w:t>value and, thus, “varies” relative to oil prices</w:t>
      </w:r>
      <w:r w:rsidR="001B0A60" w:rsidRPr="00ED3855">
        <w:rPr>
          <w:rFonts w:asciiTheme="majorBidi" w:eastAsia="Calibri" w:hAnsiTheme="majorBidi" w:cstheme="majorBidi"/>
          <w:b w:val="0"/>
          <w:bCs w:val="0"/>
          <w:sz w:val="24"/>
          <w:szCs w:val="24"/>
          <w:lang w:val="en-US"/>
        </w:rPr>
        <w:t xml:space="preserve"> (or </w:t>
      </w:r>
      <w:r w:rsidR="001B0A60" w:rsidRPr="00ED3855">
        <w:rPr>
          <w:rFonts w:asciiTheme="majorBidi" w:eastAsia="Calibri" w:hAnsiTheme="majorBidi" w:cstheme="majorBidi"/>
          <w:b w:val="0"/>
          <w:bCs w:val="0"/>
          <w:sz w:val="24"/>
          <w:szCs w:val="24"/>
          <w:lang w:val="en-US"/>
        </w:rPr>
        <w:lastRenderedPageBreak/>
        <w:t>revenues at a given export level)</w:t>
      </w:r>
      <w:r w:rsidR="00D66BAA" w:rsidRPr="00ED3855">
        <w:rPr>
          <w:rFonts w:asciiTheme="majorBidi" w:eastAsia="Calibri" w:hAnsiTheme="majorBidi" w:cstheme="majorBidi"/>
          <w:b w:val="0"/>
          <w:bCs w:val="0"/>
          <w:sz w:val="24"/>
          <w:szCs w:val="24"/>
          <w:lang w:val="en-US"/>
        </w:rPr>
        <w:t>: decreases at higher oil price</w:t>
      </w:r>
      <w:r w:rsidR="001B0A60" w:rsidRPr="00ED3855">
        <w:rPr>
          <w:rFonts w:asciiTheme="majorBidi" w:eastAsia="Calibri" w:hAnsiTheme="majorBidi" w:cstheme="majorBidi"/>
          <w:b w:val="0"/>
          <w:bCs w:val="0"/>
          <w:sz w:val="24"/>
          <w:szCs w:val="24"/>
          <w:lang w:val="en-US"/>
        </w:rPr>
        <w:t xml:space="preserve"> </w:t>
      </w:r>
      <w:r w:rsidR="00D66BAA" w:rsidRPr="00ED3855">
        <w:rPr>
          <w:rFonts w:asciiTheme="majorBidi" w:eastAsia="Calibri" w:hAnsiTheme="majorBidi" w:cstheme="majorBidi"/>
          <w:b w:val="0"/>
          <w:bCs w:val="0"/>
          <w:sz w:val="24"/>
          <w:szCs w:val="24"/>
          <w:lang w:val="en-US"/>
        </w:rPr>
        <w:t>and increases at lower oil prices.</w:t>
      </w:r>
      <w:r w:rsidR="00764556" w:rsidRPr="00ED3855">
        <w:rPr>
          <w:rFonts w:asciiTheme="majorBidi" w:eastAsia="Calibri" w:hAnsiTheme="majorBidi" w:cstheme="majorBidi"/>
          <w:b w:val="0"/>
          <w:bCs w:val="0"/>
          <w:sz w:val="24"/>
          <w:szCs w:val="24"/>
          <w:lang w:val="en-US"/>
        </w:rPr>
        <w:t xml:space="preserve"> </w:t>
      </w:r>
    </w:p>
    <w:p w:rsidR="001B0A60" w:rsidRPr="00ED3855" w:rsidRDefault="001B0A60"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1B0A60" w:rsidRPr="00ED3855" w:rsidRDefault="001B0A60"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corresponding parameter under the PSCs is the </w:t>
      </w:r>
      <w:r w:rsidRPr="00ED3855">
        <w:rPr>
          <w:rFonts w:asciiTheme="majorBidi" w:eastAsia="Calibri" w:hAnsiTheme="majorBidi" w:cstheme="majorBidi"/>
          <w:b w:val="0"/>
          <w:bCs w:val="0"/>
          <w:sz w:val="24"/>
          <w:szCs w:val="24"/>
          <w:u w:val="single"/>
          <w:lang w:val="en-US"/>
        </w:rPr>
        <w:t>Net IOC-take from “</w:t>
      </w:r>
      <w:r w:rsidR="00832299" w:rsidRPr="00ED3855">
        <w:rPr>
          <w:rFonts w:asciiTheme="majorBidi" w:eastAsia="Calibri" w:hAnsiTheme="majorBidi" w:cstheme="majorBidi"/>
          <w:b w:val="0"/>
          <w:bCs w:val="0"/>
          <w:sz w:val="24"/>
          <w:szCs w:val="24"/>
          <w:u w:val="single"/>
          <w:lang w:val="en-US"/>
        </w:rPr>
        <w:t>P</w:t>
      </w:r>
      <w:r w:rsidRPr="00ED3855">
        <w:rPr>
          <w:rFonts w:asciiTheme="majorBidi" w:eastAsia="Calibri" w:hAnsiTheme="majorBidi" w:cstheme="majorBidi"/>
          <w:b w:val="0"/>
          <w:bCs w:val="0"/>
          <w:sz w:val="24"/>
          <w:szCs w:val="24"/>
          <w:u w:val="single"/>
          <w:lang w:val="en-US"/>
        </w:rPr>
        <w:t xml:space="preserve">rofit </w:t>
      </w:r>
      <w:r w:rsidR="00832299" w:rsidRPr="00ED3855">
        <w:rPr>
          <w:rFonts w:asciiTheme="majorBidi" w:eastAsia="Calibri" w:hAnsiTheme="majorBidi" w:cstheme="majorBidi"/>
          <w:b w:val="0"/>
          <w:bCs w:val="0"/>
          <w:sz w:val="24"/>
          <w:szCs w:val="24"/>
          <w:u w:val="single"/>
          <w:lang w:val="en-US"/>
        </w:rPr>
        <w:t>O</w:t>
      </w:r>
      <w:r w:rsidRPr="00ED3855">
        <w:rPr>
          <w:rFonts w:asciiTheme="majorBidi" w:eastAsia="Calibri" w:hAnsiTheme="majorBidi" w:cstheme="majorBidi"/>
          <w:b w:val="0"/>
          <w:bCs w:val="0"/>
          <w:sz w:val="24"/>
          <w:szCs w:val="24"/>
          <w:u w:val="single"/>
          <w:lang w:val="en-US"/>
        </w:rPr>
        <w:t>il”</w:t>
      </w:r>
      <w:r w:rsidRPr="00ED3855">
        <w:rPr>
          <w:rFonts w:asciiTheme="majorBidi" w:eastAsia="Calibri" w:hAnsiTheme="majorBidi" w:cstheme="majorBidi"/>
          <w:b w:val="0"/>
          <w:bCs w:val="0"/>
          <w:sz w:val="24"/>
          <w:szCs w:val="24"/>
          <w:lang w:val="en-US"/>
        </w:rPr>
        <w:t>.</w:t>
      </w:r>
    </w:p>
    <w:p w:rsidR="00832299" w:rsidRPr="00ED3855" w:rsidRDefault="005A1311"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If one takes the general model of the PSCs concluded by the KRG </w:t>
      </w:r>
      <w:r w:rsidR="00D509AE" w:rsidRPr="00ED3855">
        <w:rPr>
          <w:rFonts w:asciiTheme="majorBidi" w:eastAsia="Calibri" w:hAnsiTheme="majorBidi" w:cstheme="majorBidi"/>
          <w:b w:val="0"/>
          <w:bCs w:val="0"/>
          <w:sz w:val="24"/>
          <w:szCs w:val="24"/>
          <w:lang w:val="en-US"/>
        </w:rPr>
        <w:t xml:space="preserve">the </w:t>
      </w:r>
      <w:r w:rsidR="00D509AE" w:rsidRPr="00ED3855">
        <w:rPr>
          <w:rFonts w:asciiTheme="majorBidi" w:eastAsia="Calibri" w:hAnsiTheme="majorBidi" w:cstheme="majorBidi"/>
          <w:b w:val="0"/>
          <w:bCs w:val="0"/>
          <w:sz w:val="24"/>
          <w:szCs w:val="24"/>
          <w:u w:val="single"/>
          <w:lang w:val="en-US"/>
        </w:rPr>
        <w:t xml:space="preserve">Net IOC-take </w:t>
      </w:r>
      <w:r w:rsidRPr="00ED3855">
        <w:rPr>
          <w:rFonts w:asciiTheme="majorBidi" w:eastAsia="Calibri" w:hAnsiTheme="majorBidi" w:cstheme="majorBidi"/>
          <w:b w:val="0"/>
          <w:bCs w:val="0"/>
          <w:sz w:val="24"/>
          <w:szCs w:val="24"/>
          <w:lang w:val="en-US"/>
        </w:rPr>
        <w:t xml:space="preserve">is </w:t>
      </w:r>
      <w:r w:rsidR="000C4231">
        <w:rPr>
          <w:rFonts w:asciiTheme="majorBidi" w:eastAsia="Calibri" w:hAnsiTheme="majorBidi" w:cstheme="majorBidi"/>
          <w:b w:val="0"/>
          <w:bCs w:val="0"/>
          <w:sz w:val="24"/>
          <w:szCs w:val="24"/>
          <w:lang w:val="en-US"/>
        </w:rPr>
        <w:t xml:space="preserve">calculated at </w:t>
      </w:r>
      <w:r w:rsidRPr="00ED3855">
        <w:rPr>
          <w:rFonts w:asciiTheme="majorBidi" w:eastAsia="Calibri" w:hAnsiTheme="majorBidi" w:cstheme="majorBidi"/>
          <w:b w:val="0"/>
          <w:bCs w:val="0"/>
          <w:sz w:val="24"/>
          <w:szCs w:val="24"/>
          <w:lang w:val="en-US"/>
        </w:rPr>
        <w:t xml:space="preserve">11.016% of the Profit Oil. </w:t>
      </w:r>
      <w:r w:rsidR="00832299" w:rsidRPr="00ED3855">
        <w:rPr>
          <w:rFonts w:asciiTheme="majorBidi" w:eastAsia="Calibri" w:hAnsiTheme="majorBidi" w:cstheme="majorBidi"/>
          <w:b w:val="0"/>
          <w:bCs w:val="0"/>
          <w:sz w:val="24"/>
          <w:szCs w:val="24"/>
          <w:lang w:val="en-US"/>
        </w:rPr>
        <w:t xml:space="preserve">Thus, in a “Relative” terms the </w:t>
      </w:r>
      <w:r w:rsidR="00832299" w:rsidRPr="00ED3855">
        <w:rPr>
          <w:rFonts w:asciiTheme="majorBidi" w:eastAsia="Calibri" w:hAnsiTheme="majorBidi" w:cstheme="majorBidi"/>
          <w:b w:val="0"/>
          <w:bCs w:val="0"/>
          <w:sz w:val="24"/>
          <w:szCs w:val="24"/>
          <w:u w:val="single"/>
          <w:lang w:val="en-US"/>
        </w:rPr>
        <w:t>Net IOC-take from “Profit Oil”</w:t>
      </w:r>
      <w:r w:rsidR="00832299" w:rsidRPr="00ED3855">
        <w:rPr>
          <w:rFonts w:asciiTheme="majorBidi" w:eastAsia="Calibri" w:hAnsiTheme="majorBidi" w:cstheme="majorBidi"/>
          <w:b w:val="0"/>
          <w:bCs w:val="0"/>
          <w:sz w:val="24"/>
          <w:szCs w:val="24"/>
          <w:lang w:val="en-US"/>
        </w:rPr>
        <w:t xml:space="preserve"> remains Constant at 11.016%  of the Profit Oil; in a monetary value it “varies” relative to oil prices (or revenues at a given export level): increases at higher oil price and decreases at lower oil prices.</w:t>
      </w:r>
    </w:p>
    <w:p w:rsidR="00832299" w:rsidRPr="00ED3855" w:rsidRDefault="00832299"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872BB6" w:rsidRPr="00ED3855" w:rsidRDefault="00832299"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Following chart </w:t>
      </w:r>
      <w:r w:rsidR="0068082A" w:rsidRPr="00ED3855">
        <w:rPr>
          <w:rFonts w:asciiTheme="majorBidi" w:eastAsia="Calibri" w:hAnsiTheme="majorBidi" w:cstheme="majorBidi"/>
          <w:b w:val="0"/>
          <w:bCs w:val="0"/>
          <w:sz w:val="24"/>
          <w:szCs w:val="24"/>
          <w:lang w:val="en-US"/>
        </w:rPr>
        <w:t>1 represent a comparison between what the IOCs</w:t>
      </w:r>
      <w:r w:rsidR="00872BB6" w:rsidRPr="00ED3855">
        <w:rPr>
          <w:rFonts w:asciiTheme="majorBidi" w:eastAsia="Calibri" w:hAnsiTheme="majorBidi" w:cstheme="majorBidi"/>
          <w:b w:val="0"/>
          <w:bCs w:val="0"/>
          <w:sz w:val="24"/>
          <w:szCs w:val="24"/>
          <w:lang w:val="en-US"/>
        </w:rPr>
        <w:t>-</w:t>
      </w:r>
      <w:r w:rsidR="0068082A" w:rsidRPr="00ED3855">
        <w:rPr>
          <w:rFonts w:asciiTheme="majorBidi" w:eastAsia="Calibri" w:hAnsiTheme="majorBidi" w:cstheme="majorBidi"/>
          <w:b w:val="0"/>
          <w:bCs w:val="0"/>
          <w:sz w:val="24"/>
          <w:szCs w:val="24"/>
          <w:lang w:val="en-US"/>
        </w:rPr>
        <w:t xml:space="preserve">take in dollars per barrel from LTSCs (MoO) and PSCs (KRG) at different oil price levels. </w:t>
      </w:r>
      <w:r w:rsidR="00872BB6" w:rsidRPr="00ED3855">
        <w:rPr>
          <w:rFonts w:asciiTheme="majorBidi" w:eastAsia="Calibri" w:hAnsiTheme="majorBidi" w:cstheme="majorBidi"/>
          <w:b w:val="0"/>
          <w:bCs w:val="0"/>
          <w:sz w:val="24"/>
          <w:szCs w:val="24"/>
          <w:lang w:val="en-US"/>
        </w:rPr>
        <w:t>The chart provides three o</w:t>
      </w:r>
      <w:r w:rsidR="0068082A" w:rsidRPr="00ED3855">
        <w:rPr>
          <w:rFonts w:asciiTheme="majorBidi" w:eastAsia="Calibri" w:hAnsiTheme="majorBidi" w:cstheme="majorBidi"/>
          <w:b w:val="0"/>
          <w:bCs w:val="0"/>
          <w:sz w:val="24"/>
          <w:szCs w:val="24"/>
          <w:lang w:val="en-US"/>
        </w:rPr>
        <w:t>bvious</w:t>
      </w:r>
      <w:r w:rsidR="00872BB6" w:rsidRPr="00ED3855">
        <w:rPr>
          <w:rFonts w:asciiTheme="majorBidi" w:eastAsia="Calibri" w:hAnsiTheme="majorBidi" w:cstheme="majorBidi"/>
          <w:b w:val="0"/>
          <w:bCs w:val="0"/>
          <w:sz w:val="24"/>
          <w:szCs w:val="24"/>
          <w:lang w:val="en-US"/>
        </w:rPr>
        <w:t xml:space="preserve"> conclusions:</w:t>
      </w:r>
      <w:r w:rsidR="0068082A" w:rsidRPr="00ED3855">
        <w:rPr>
          <w:rFonts w:asciiTheme="majorBidi" w:eastAsia="Calibri" w:hAnsiTheme="majorBidi" w:cstheme="majorBidi"/>
          <w:b w:val="0"/>
          <w:bCs w:val="0"/>
          <w:sz w:val="24"/>
          <w:szCs w:val="24"/>
          <w:lang w:val="en-US"/>
        </w:rPr>
        <w:t xml:space="preserve"> </w:t>
      </w:r>
    </w:p>
    <w:p w:rsidR="00872BB6" w:rsidRPr="00ED3855" w:rsidRDefault="00872BB6" w:rsidP="00704341">
      <w:pPr>
        <w:pStyle w:val="Heading1"/>
        <w:spacing w:before="0" w:beforeAutospacing="0" w:after="0" w:afterAutospacing="0" w:line="276" w:lineRule="auto"/>
        <w:ind w:left="567"/>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First, </w:t>
      </w:r>
      <w:r w:rsidR="0068082A" w:rsidRPr="00ED3855">
        <w:rPr>
          <w:rFonts w:asciiTheme="majorBidi" w:eastAsia="Calibri" w:hAnsiTheme="majorBidi" w:cstheme="majorBidi"/>
          <w:b w:val="0"/>
          <w:bCs w:val="0"/>
          <w:sz w:val="24"/>
          <w:szCs w:val="24"/>
          <w:lang w:val="en-US"/>
        </w:rPr>
        <w:t>IOCs</w:t>
      </w:r>
      <w:r w:rsidR="009C2528" w:rsidRPr="00ED3855">
        <w:rPr>
          <w:rFonts w:asciiTheme="majorBidi" w:eastAsia="Calibri" w:hAnsiTheme="majorBidi" w:cstheme="majorBidi"/>
          <w:b w:val="0"/>
          <w:bCs w:val="0"/>
          <w:sz w:val="24"/>
          <w:szCs w:val="24"/>
          <w:lang w:val="en-US"/>
        </w:rPr>
        <w:t>-</w:t>
      </w:r>
      <w:r w:rsidR="0068082A" w:rsidRPr="00ED3855">
        <w:rPr>
          <w:rFonts w:asciiTheme="majorBidi" w:eastAsia="Calibri" w:hAnsiTheme="majorBidi" w:cstheme="majorBidi"/>
          <w:b w:val="0"/>
          <w:bCs w:val="0"/>
          <w:sz w:val="24"/>
          <w:szCs w:val="24"/>
          <w:lang w:val="en-US"/>
        </w:rPr>
        <w:t xml:space="preserve">take </w:t>
      </w:r>
      <w:r w:rsidR="009C2528" w:rsidRPr="00ED3855">
        <w:rPr>
          <w:rFonts w:asciiTheme="majorBidi" w:eastAsia="Calibri" w:hAnsiTheme="majorBidi" w:cstheme="majorBidi"/>
          <w:b w:val="0"/>
          <w:bCs w:val="0"/>
          <w:sz w:val="24"/>
          <w:szCs w:val="24"/>
          <w:lang w:val="en-US"/>
        </w:rPr>
        <w:t xml:space="preserve">is </w:t>
      </w:r>
      <w:r w:rsidRPr="00ED3855">
        <w:rPr>
          <w:rFonts w:asciiTheme="majorBidi" w:eastAsia="Calibri" w:hAnsiTheme="majorBidi" w:cstheme="majorBidi"/>
          <w:b w:val="0"/>
          <w:bCs w:val="0"/>
          <w:sz w:val="24"/>
          <w:szCs w:val="24"/>
          <w:lang w:val="en-US"/>
        </w:rPr>
        <w:t xml:space="preserve">much more under the PSCs than under LTSCs; </w:t>
      </w:r>
    </w:p>
    <w:p w:rsidR="0068082A" w:rsidRPr="00ED3855" w:rsidRDefault="005A1311" w:rsidP="00704341">
      <w:pPr>
        <w:pStyle w:val="Heading1"/>
        <w:spacing w:before="0" w:beforeAutospacing="0" w:after="0" w:afterAutospacing="0" w:line="276" w:lineRule="auto"/>
        <w:ind w:left="567"/>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Second,</w:t>
      </w:r>
      <w:r w:rsidR="00872BB6" w:rsidRPr="00ED3855">
        <w:rPr>
          <w:rFonts w:asciiTheme="majorBidi" w:eastAsia="Calibri" w:hAnsiTheme="majorBidi" w:cstheme="majorBidi"/>
          <w:b w:val="0"/>
          <w:bCs w:val="0"/>
          <w:sz w:val="24"/>
          <w:szCs w:val="24"/>
          <w:lang w:val="en-US"/>
        </w:rPr>
        <w:t xml:space="preserve"> the IOCs take increases </w:t>
      </w:r>
      <w:r w:rsidR="008B2375" w:rsidRPr="00ED3855">
        <w:rPr>
          <w:rFonts w:asciiTheme="majorBidi" w:eastAsia="Calibri" w:hAnsiTheme="majorBidi" w:cstheme="majorBidi"/>
          <w:b w:val="0"/>
          <w:bCs w:val="0"/>
          <w:sz w:val="24"/>
          <w:szCs w:val="24"/>
          <w:lang w:val="en-US"/>
        </w:rPr>
        <w:t xml:space="preserve">when </w:t>
      </w:r>
      <w:r w:rsidR="00872BB6" w:rsidRPr="00ED3855">
        <w:rPr>
          <w:rFonts w:asciiTheme="majorBidi" w:eastAsia="Calibri" w:hAnsiTheme="majorBidi" w:cstheme="majorBidi"/>
          <w:b w:val="0"/>
          <w:bCs w:val="0"/>
          <w:sz w:val="24"/>
          <w:szCs w:val="24"/>
          <w:lang w:val="en-US"/>
        </w:rPr>
        <w:t>oil price</w:t>
      </w:r>
      <w:r w:rsidR="008B2375" w:rsidRPr="00ED3855">
        <w:rPr>
          <w:rFonts w:asciiTheme="majorBidi" w:eastAsia="Calibri" w:hAnsiTheme="majorBidi" w:cstheme="majorBidi"/>
          <w:b w:val="0"/>
          <w:bCs w:val="0"/>
          <w:sz w:val="24"/>
          <w:szCs w:val="24"/>
          <w:lang w:val="en-US"/>
        </w:rPr>
        <w:t xml:space="preserve"> increase</w:t>
      </w:r>
      <w:r w:rsidR="00704341">
        <w:rPr>
          <w:rFonts w:asciiTheme="majorBidi" w:eastAsia="Calibri" w:hAnsiTheme="majorBidi" w:cstheme="majorBidi"/>
          <w:b w:val="0"/>
          <w:bCs w:val="0"/>
          <w:sz w:val="24"/>
          <w:szCs w:val="24"/>
          <w:lang w:val="en-US"/>
        </w:rPr>
        <w:t>s</w:t>
      </w:r>
      <w:r w:rsidR="009C2528" w:rsidRPr="00ED3855">
        <w:rPr>
          <w:rFonts w:asciiTheme="majorBidi" w:eastAsia="Calibri" w:hAnsiTheme="majorBidi" w:cstheme="majorBidi"/>
          <w:b w:val="0"/>
          <w:bCs w:val="0"/>
          <w:sz w:val="24"/>
          <w:szCs w:val="24"/>
          <w:lang w:val="en-US"/>
        </w:rPr>
        <w:t>;</w:t>
      </w:r>
    </w:p>
    <w:p w:rsidR="009C2528" w:rsidRPr="00ED3855" w:rsidRDefault="005A1311" w:rsidP="00704341">
      <w:pPr>
        <w:pStyle w:val="Heading1"/>
        <w:spacing w:before="0" w:beforeAutospacing="0" w:after="0" w:afterAutospacing="0" w:line="276" w:lineRule="auto"/>
        <w:ind w:left="1134" w:hanging="567"/>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Th</w:t>
      </w:r>
      <w:r w:rsidR="00616EEC">
        <w:rPr>
          <w:rFonts w:asciiTheme="majorBidi" w:eastAsia="Calibri" w:hAnsiTheme="majorBidi" w:cstheme="majorBidi"/>
          <w:b w:val="0"/>
          <w:bCs w:val="0"/>
          <w:sz w:val="24"/>
          <w:szCs w:val="24"/>
          <w:lang w:val="en-US"/>
        </w:rPr>
        <w:t>i</w:t>
      </w:r>
      <w:r w:rsidRPr="00ED3855">
        <w:rPr>
          <w:rFonts w:asciiTheme="majorBidi" w:eastAsia="Calibri" w:hAnsiTheme="majorBidi" w:cstheme="majorBidi"/>
          <w:b w:val="0"/>
          <w:bCs w:val="0"/>
          <w:sz w:val="24"/>
          <w:szCs w:val="24"/>
          <w:lang w:val="en-US"/>
        </w:rPr>
        <w:t>r</w:t>
      </w:r>
      <w:r w:rsidR="00616EEC">
        <w:rPr>
          <w:rFonts w:asciiTheme="majorBidi" w:eastAsia="Calibri" w:hAnsiTheme="majorBidi" w:cstheme="majorBidi"/>
          <w:b w:val="0"/>
          <w:bCs w:val="0"/>
          <w:sz w:val="24"/>
          <w:szCs w:val="24"/>
          <w:lang w:val="en-US"/>
        </w:rPr>
        <w:t>d</w:t>
      </w:r>
      <w:r w:rsidRPr="00ED3855">
        <w:rPr>
          <w:rFonts w:asciiTheme="majorBidi" w:eastAsia="Calibri" w:hAnsiTheme="majorBidi" w:cstheme="majorBidi"/>
          <w:b w:val="0"/>
          <w:bCs w:val="0"/>
          <w:sz w:val="24"/>
          <w:szCs w:val="24"/>
          <w:lang w:val="en-US"/>
        </w:rPr>
        <w:t>, the differential of the IOCs-take, under the PSCs over LTSCs, increases a</w:t>
      </w:r>
      <w:r w:rsidR="00704341">
        <w:rPr>
          <w:rFonts w:asciiTheme="majorBidi" w:eastAsia="Calibri" w:hAnsiTheme="majorBidi" w:cstheme="majorBidi"/>
          <w:b w:val="0"/>
          <w:bCs w:val="0"/>
          <w:sz w:val="24"/>
          <w:szCs w:val="24"/>
          <w:lang w:val="en-US"/>
        </w:rPr>
        <w:t>s</w:t>
      </w:r>
      <w:r w:rsidRPr="00ED3855">
        <w:rPr>
          <w:rFonts w:asciiTheme="majorBidi" w:eastAsia="Calibri" w:hAnsiTheme="majorBidi" w:cstheme="majorBidi"/>
          <w:b w:val="0"/>
          <w:bCs w:val="0"/>
          <w:sz w:val="24"/>
          <w:szCs w:val="24"/>
          <w:lang w:val="en-US"/>
        </w:rPr>
        <w:t xml:space="preserve"> oil price</w:t>
      </w:r>
      <w:r w:rsidR="00704341">
        <w:rPr>
          <w:rFonts w:asciiTheme="majorBidi" w:eastAsia="Calibri" w:hAnsiTheme="majorBidi" w:cstheme="majorBidi"/>
          <w:b w:val="0"/>
          <w:bCs w:val="0"/>
          <w:sz w:val="24"/>
          <w:szCs w:val="24"/>
          <w:lang w:val="en-US"/>
        </w:rPr>
        <w:t xml:space="preserve"> increases</w:t>
      </w:r>
      <w:r w:rsidRPr="00ED3855">
        <w:rPr>
          <w:rFonts w:asciiTheme="majorBidi" w:eastAsia="Calibri" w:hAnsiTheme="majorBidi" w:cstheme="majorBidi"/>
          <w:b w:val="0"/>
          <w:bCs w:val="0"/>
          <w:sz w:val="24"/>
          <w:szCs w:val="24"/>
          <w:lang w:val="en-US"/>
        </w:rPr>
        <w:t>.</w:t>
      </w:r>
    </w:p>
    <w:p w:rsidR="0068082A" w:rsidRPr="00ED3855" w:rsidRDefault="0068082A" w:rsidP="00ED3855">
      <w:pPr>
        <w:pStyle w:val="Heading1"/>
        <w:spacing w:before="0" w:beforeAutospacing="0" w:after="0" w:afterAutospacing="0" w:line="276" w:lineRule="auto"/>
        <w:rPr>
          <w:rFonts w:asciiTheme="majorBidi" w:eastAsia="Calibri" w:hAnsiTheme="majorBidi" w:cstheme="majorBidi"/>
          <w:b w:val="0"/>
          <w:bCs w:val="0"/>
          <w:sz w:val="24"/>
          <w:szCs w:val="24"/>
          <w:lang w:val="en-US"/>
        </w:rPr>
      </w:pPr>
    </w:p>
    <w:p w:rsidR="008B2375" w:rsidRDefault="008B2375" w:rsidP="003A31AB">
      <w:pPr>
        <w:pStyle w:val="Heading1"/>
        <w:spacing w:before="0" w:beforeAutospacing="0" w:after="0" w:afterAutospacing="0" w:line="276" w:lineRule="auto"/>
        <w:jc w:val="center"/>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Chart 1: IOCs-take in dollars per barrel from LTSCs (MoO) and PSCs (KRG) IOCs-take in dollars per barrel from LTSCs (MoO) and PSCs (KRG) ($/b)</w:t>
      </w:r>
    </w:p>
    <w:p w:rsidR="003A31AB" w:rsidRPr="00ED3855" w:rsidRDefault="003A31AB" w:rsidP="003A31AB">
      <w:pPr>
        <w:pStyle w:val="Heading1"/>
        <w:spacing w:before="0" w:beforeAutospacing="0" w:after="0" w:afterAutospacing="0" w:line="276" w:lineRule="auto"/>
        <w:jc w:val="center"/>
        <w:rPr>
          <w:rFonts w:asciiTheme="majorBidi" w:eastAsia="Calibri" w:hAnsiTheme="majorBidi" w:cstheme="majorBidi"/>
          <w:b w:val="0"/>
          <w:bCs w:val="0"/>
          <w:sz w:val="24"/>
          <w:szCs w:val="24"/>
          <w:lang w:val="en-US"/>
        </w:rPr>
      </w:pPr>
    </w:p>
    <w:p w:rsidR="001B0A60" w:rsidRPr="00ED3855" w:rsidRDefault="0068082A" w:rsidP="003A31AB">
      <w:pPr>
        <w:pStyle w:val="Heading1"/>
        <w:spacing w:before="0" w:beforeAutospacing="0" w:after="0" w:afterAutospacing="0"/>
        <w:jc w:val="center"/>
        <w:rPr>
          <w:rFonts w:asciiTheme="majorBidi" w:eastAsia="Calibri" w:hAnsiTheme="majorBidi" w:cstheme="majorBidi"/>
          <w:b w:val="0"/>
          <w:bCs w:val="0"/>
          <w:sz w:val="24"/>
          <w:szCs w:val="24"/>
          <w:lang w:val="en-US"/>
        </w:rPr>
      </w:pPr>
      <w:r w:rsidRPr="00ED3855">
        <w:rPr>
          <w:rFonts w:asciiTheme="majorBidi" w:hAnsiTheme="majorBidi" w:cstheme="majorBidi"/>
          <w:noProof/>
        </w:rPr>
        <w:drawing>
          <wp:inline distT="0" distB="0" distL="0" distR="0" wp14:anchorId="2B55DC1C" wp14:editId="17E9F2FE">
            <wp:extent cx="4572000" cy="3024188"/>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4556" w:rsidRPr="00ED3855" w:rsidRDefault="00764556" w:rsidP="004E2D09">
      <w:pPr>
        <w:pStyle w:val="Heading1"/>
        <w:spacing w:before="0" w:beforeAutospacing="0" w:after="0" w:afterAutospacing="0"/>
        <w:rPr>
          <w:rFonts w:asciiTheme="majorBidi" w:eastAsia="Calibri" w:hAnsiTheme="majorBidi" w:cstheme="majorBidi"/>
          <w:b w:val="0"/>
          <w:bCs w:val="0"/>
          <w:sz w:val="24"/>
          <w:szCs w:val="24"/>
          <w:lang w:val="en-US"/>
        </w:rPr>
      </w:pPr>
    </w:p>
    <w:p w:rsidR="008B2375" w:rsidRPr="00ED3855" w:rsidRDefault="008B2375" w:rsidP="004E2D09">
      <w:pPr>
        <w:pStyle w:val="Heading1"/>
        <w:spacing w:before="0" w:beforeAutospacing="0" w:after="0" w:afterAutospacing="0"/>
        <w:rPr>
          <w:rFonts w:asciiTheme="majorBidi" w:eastAsia="Calibri" w:hAnsiTheme="majorBidi" w:cstheme="majorBidi"/>
          <w:b w:val="0"/>
          <w:bCs w:val="0"/>
          <w:sz w:val="24"/>
          <w:szCs w:val="24"/>
          <w:lang w:val="en-US"/>
        </w:rPr>
      </w:pPr>
    </w:p>
    <w:p w:rsidR="006903BC" w:rsidRPr="00ED3855" w:rsidRDefault="008B2375" w:rsidP="006903BC">
      <w:pPr>
        <w:pStyle w:val="Heading1"/>
        <w:spacing w:before="0" w:beforeAutospacing="0" w:after="0" w:afterAutospacing="0"/>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If we look to the issue from “relative” terms the following Chart 2</w:t>
      </w:r>
      <w:r w:rsidR="00E67332" w:rsidRPr="00ED3855">
        <w:rPr>
          <w:rFonts w:asciiTheme="majorBidi" w:eastAsia="Calibri" w:hAnsiTheme="majorBidi" w:cstheme="majorBidi"/>
          <w:b w:val="0"/>
          <w:bCs w:val="0"/>
          <w:sz w:val="24"/>
          <w:szCs w:val="24"/>
          <w:lang w:val="en-US"/>
        </w:rPr>
        <w:t xml:space="preserve"> shows th</w:t>
      </w:r>
      <w:r w:rsidR="006903BC" w:rsidRPr="00ED3855">
        <w:rPr>
          <w:rFonts w:asciiTheme="majorBidi" w:eastAsia="Calibri" w:hAnsiTheme="majorBidi" w:cstheme="majorBidi"/>
          <w:b w:val="0"/>
          <w:bCs w:val="0"/>
          <w:sz w:val="24"/>
          <w:szCs w:val="24"/>
          <w:lang w:val="en-US"/>
        </w:rPr>
        <w:t>e following:</w:t>
      </w:r>
    </w:p>
    <w:p w:rsidR="006903BC" w:rsidRPr="00ED3855" w:rsidRDefault="006903BC" w:rsidP="008D4A5D">
      <w:pPr>
        <w:pStyle w:val="Heading1"/>
        <w:spacing w:before="0" w:beforeAutospacing="0" w:after="0" w:afterAutospacing="0"/>
        <w:ind w:left="360"/>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First, </w:t>
      </w:r>
      <w:r w:rsidR="00E67332" w:rsidRPr="00ED3855">
        <w:rPr>
          <w:rFonts w:asciiTheme="majorBidi" w:eastAsia="Calibri" w:hAnsiTheme="majorBidi" w:cstheme="majorBidi"/>
          <w:b w:val="0"/>
          <w:bCs w:val="0"/>
          <w:sz w:val="24"/>
          <w:szCs w:val="24"/>
          <w:lang w:val="en-US"/>
        </w:rPr>
        <w:t>IOCs-take under KRG’PSCs is constant at 11.016% regardless of oil price</w:t>
      </w:r>
      <w:r w:rsidRPr="00ED3855">
        <w:rPr>
          <w:rFonts w:asciiTheme="majorBidi" w:eastAsia="Calibri" w:hAnsiTheme="majorBidi" w:cstheme="majorBidi"/>
          <w:b w:val="0"/>
          <w:bCs w:val="0"/>
          <w:sz w:val="24"/>
          <w:szCs w:val="24"/>
          <w:lang w:val="en-US"/>
        </w:rPr>
        <w:t>;</w:t>
      </w:r>
    </w:p>
    <w:p w:rsidR="008D4A5D" w:rsidRPr="00ED3855" w:rsidRDefault="006903BC" w:rsidP="008D4A5D">
      <w:pPr>
        <w:pStyle w:val="Heading1"/>
        <w:spacing w:before="0" w:beforeAutospacing="0" w:after="0" w:afterAutospacing="0"/>
        <w:ind w:left="1134" w:hanging="774"/>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Second, IOCs-take under LTSCs declines </w:t>
      </w:r>
      <w:r w:rsidR="008D4A5D" w:rsidRPr="00ED3855">
        <w:rPr>
          <w:rFonts w:asciiTheme="majorBidi" w:eastAsia="Calibri" w:hAnsiTheme="majorBidi" w:cstheme="majorBidi"/>
          <w:b w:val="0"/>
          <w:bCs w:val="0"/>
          <w:sz w:val="24"/>
          <w:szCs w:val="24"/>
          <w:lang w:val="en-US"/>
        </w:rPr>
        <w:t>relative to oil price meaning 5% of oil price (or revenues) goes to the IOCs at $20/barrel and 0.83% at $120/barrel;</w:t>
      </w:r>
    </w:p>
    <w:p w:rsidR="00E67332" w:rsidRPr="00ED3855" w:rsidRDefault="008D4A5D" w:rsidP="00C05E7A">
      <w:pPr>
        <w:pStyle w:val="Heading1"/>
        <w:spacing w:before="0" w:beforeAutospacing="0" w:after="0" w:afterAutospacing="0"/>
        <w:ind w:left="360"/>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Third; </w:t>
      </w:r>
      <w:r w:rsidR="00C05E7A" w:rsidRPr="00ED3855">
        <w:rPr>
          <w:rFonts w:asciiTheme="majorBidi" w:eastAsia="Calibri" w:hAnsiTheme="majorBidi" w:cstheme="majorBidi"/>
          <w:b w:val="0"/>
          <w:bCs w:val="0"/>
          <w:sz w:val="24"/>
          <w:szCs w:val="24"/>
          <w:lang w:val="en-US"/>
        </w:rPr>
        <w:t>IOCs-take under KRG’PSCs is always much higher than under the LTSC.</w:t>
      </w:r>
      <w:r w:rsidRPr="00ED3855">
        <w:rPr>
          <w:rFonts w:asciiTheme="majorBidi" w:eastAsia="Calibri" w:hAnsiTheme="majorBidi" w:cstheme="majorBidi"/>
          <w:b w:val="0"/>
          <w:bCs w:val="0"/>
          <w:sz w:val="24"/>
          <w:szCs w:val="24"/>
          <w:lang w:val="en-US"/>
        </w:rPr>
        <w:t xml:space="preserve"> </w:t>
      </w:r>
      <w:r w:rsidR="00E67332" w:rsidRPr="00ED3855">
        <w:rPr>
          <w:rFonts w:asciiTheme="majorBidi" w:eastAsia="Calibri" w:hAnsiTheme="majorBidi" w:cstheme="majorBidi"/>
          <w:b w:val="0"/>
          <w:bCs w:val="0"/>
          <w:sz w:val="24"/>
          <w:szCs w:val="24"/>
          <w:lang w:val="en-US"/>
        </w:rPr>
        <w:t xml:space="preserve"> </w:t>
      </w:r>
    </w:p>
    <w:p w:rsidR="00C05E7A" w:rsidRPr="00ED3855" w:rsidRDefault="00C05E7A" w:rsidP="00C05E7A">
      <w:pPr>
        <w:pStyle w:val="Heading1"/>
        <w:spacing w:before="0" w:beforeAutospacing="0" w:after="0" w:afterAutospacing="0"/>
        <w:ind w:left="360"/>
        <w:rPr>
          <w:rFonts w:asciiTheme="majorBidi" w:eastAsia="Calibri" w:hAnsiTheme="majorBidi" w:cstheme="majorBidi"/>
          <w:b w:val="0"/>
          <w:bCs w:val="0"/>
          <w:sz w:val="24"/>
          <w:szCs w:val="24"/>
          <w:lang w:val="en-US"/>
        </w:rPr>
      </w:pPr>
    </w:p>
    <w:p w:rsidR="00C05E7A" w:rsidRPr="00ED3855" w:rsidRDefault="00C05E7A" w:rsidP="003A31AB">
      <w:pPr>
        <w:pStyle w:val="Heading1"/>
        <w:spacing w:before="0" w:beforeAutospacing="0" w:after="0" w:afterAutospacing="0"/>
        <w:ind w:left="360"/>
        <w:jc w:val="center"/>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Chart 2: IOCs-take Relative to Oil Price (%OP) Under KRG’PSCs and MoO’ LTSCs</w:t>
      </w:r>
    </w:p>
    <w:p w:rsidR="008B2375" w:rsidRPr="00ED3855" w:rsidRDefault="008B2375" w:rsidP="003A31AB">
      <w:pPr>
        <w:pStyle w:val="Heading1"/>
        <w:spacing w:before="0" w:beforeAutospacing="0" w:after="0" w:afterAutospacing="0"/>
        <w:jc w:val="center"/>
        <w:rPr>
          <w:rFonts w:asciiTheme="majorBidi" w:eastAsia="Calibri" w:hAnsiTheme="majorBidi" w:cstheme="majorBidi"/>
          <w:b w:val="0"/>
          <w:bCs w:val="0"/>
          <w:sz w:val="24"/>
          <w:szCs w:val="24"/>
          <w:lang w:val="en-US"/>
        </w:rPr>
      </w:pPr>
    </w:p>
    <w:p w:rsidR="008B2375" w:rsidRPr="00ED3855" w:rsidRDefault="008B2375" w:rsidP="003A31AB">
      <w:pPr>
        <w:pStyle w:val="Heading1"/>
        <w:spacing w:before="0" w:beforeAutospacing="0" w:after="0" w:afterAutospacing="0"/>
        <w:jc w:val="center"/>
        <w:rPr>
          <w:rFonts w:asciiTheme="majorBidi" w:eastAsia="Calibri" w:hAnsiTheme="majorBidi" w:cstheme="majorBidi"/>
          <w:b w:val="0"/>
          <w:bCs w:val="0"/>
          <w:sz w:val="24"/>
          <w:szCs w:val="24"/>
          <w:lang w:val="en-US"/>
        </w:rPr>
      </w:pPr>
      <w:r w:rsidRPr="00ED3855">
        <w:rPr>
          <w:rFonts w:asciiTheme="majorBidi" w:hAnsiTheme="majorBidi" w:cstheme="majorBidi"/>
          <w:noProof/>
        </w:rPr>
        <w:drawing>
          <wp:inline distT="0" distB="0" distL="0" distR="0" wp14:anchorId="4C34398D" wp14:editId="0A90BA68">
            <wp:extent cx="4572000" cy="2928938"/>
            <wp:effectExtent l="0" t="0" r="1905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2375" w:rsidRPr="00ED3855" w:rsidRDefault="008B2375" w:rsidP="003A31AB">
      <w:pPr>
        <w:pStyle w:val="Heading1"/>
        <w:spacing w:before="0" w:beforeAutospacing="0" w:after="0" w:afterAutospacing="0"/>
        <w:jc w:val="center"/>
        <w:rPr>
          <w:rFonts w:asciiTheme="majorBidi" w:eastAsia="Calibri" w:hAnsiTheme="majorBidi" w:cstheme="majorBidi"/>
          <w:b w:val="0"/>
          <w:bCs w:val="0"/>
          <w:sz w:val="24"/>
          <w:szCs w:val="24"/>
          <w:lang w:val="en-US"/>
        </w:rPr>
      </w:pPr>
    </w:p>
    <w:p w:rsidR="00F170FA" w:rsidRPr="00ED3855" w:rsidRDefault="00C05E7A" w:rsidP="00F170FA">
      <w:pPr>
        <w:pStyle w:val="Heading1"/>
        <w:spacing w:before="0" w:beforeAutospacing="0" w:after="0" w:afterAutospacing="0"/>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The above two charts </w:t>
      </w:r>
      <w:r w:rsidR="00F170FA" w:rsidRPr="00ED3855">
        <w:rPr>
          <w:rFonts w:asciiTheme="majorBidi" w:eastAsia="Calibri" w:hAnsiTheme="majorBidi" w:cstheme="majorBidi"/>
          <w:b w:val="0"/>
          <w:bCs w:val="0"/>
          <w:sz w:val="24"/>
          <w:szCs w:val="24"/>
          <w:lang w:val="en-US"/>
        </w:rPr>
        <w:t>clearly indicates that 11.016% of the economic rent associated with higher oil price goes to IOCs under the PSCs while “all” the economic rent associated with higher oil price goes to the “Iraqi people” under the LTSCs.</w:t>
      </w:r>
    </w:p>
    <w:p w:rsidR="00F170FA" w:rsidRPr="00ED3855" w:rsidRDefault="00F170FA" w:rsidP="00F170FA">
      <w:pPr>
        <w:pStyle w:val="Heading1"/>
        <w:spacing w:before="0" w:beforeAutospacing="0" w:after="0" w:afterAutospacing="0"/>
        <w:rPr>
          <w:rFonts w:asciiTheme="majorBidi" w:eastAsia="Calibri" w:hAnsiTheme="majorBidi" w:cstheme="majorBidi"/>
          <w:b w:val="0"/>
          <w:bCs w:val="0"/>
          <w:sz w:val="24"/>
          <w:szCs w:val="24"/>
          <w:lang w:val="en-US"/>
        </w:rPr>
      </w:pPr>
    </w:p>
    <w:p w:rsidR="00665A4E" w:rsidRPr="00ED3855" w:rsidRDefault="005B0C43" w:rsidP="00D509AE">
      <w:pPr>
        <w:pStyle w:val="Heading1"/>
        <w:spacing w:before="0" w:beforeAutospacing="0" w:after="0" w:afterAutospacing="0"/>
        <w:rPr>
          <w:rFonts w:asciiTheme="majorBidi" w:eastAsia="Calibri" w:hAnsiTheme="majorBidi" w:cstheme="majorBidi"/>
          <w:b w:val="0"/>
          <w:bCs w:val="0"/>
          <w:sz w:val="24"/>
          <w:szCs w:val="24"/>
          <w:lang w:val="en-US"/>
        </w:rPr>
      </w:pPr>
      <w:r w:rsidRPr="00ED3855">
        <w:rPr>
          <w:rFonts w:asciiTheme="majorBidi" w:eastAsia="Calibri" w:hAnsiTheme="majorBidi" w:cstheme="majorBidi"/>
          <w:b w:val="0"/>
          <w:bCs w:val="0"/>
          <w:sz w:val="24"/>
          <w:szCs w:val="24"/>
          <w:lang w:val="en-US"/>
        </w:rPr>
        <w:t xml:space="preserve">Historically, the duration of high oil price periods are much longer than low price periods; and the general trend is, therefore, upwards. Hence, </w:t>
      </w:r>
      <w:r w:rsidR="00072722" w:rsidRPr="00ED3855">
        <w:rPr>
          <w:rFonts w:asciiTheme="majorBidi" w:eastAsia="Calibri" w:hAnsiTheme="majorBidi" w:cstheme="majorBidi"/>
          <w:b w:val="0"/>
          <w:bCs w:val="0"/>
          <w:sz w:val="24"/>
          <w:szCs w:val="24"/>
          <w:lang w:val="en-US"/>
        </w:rPr>
        <w:t xml:space="preserve">with contract duration of more than 20 years the </w:t>
      </w:r>
      <w:r w:rsidR="00735C1A" w:rsidRPr="00ED3855">
        <w:rPr>
          <w:rFonts w:asciiTheme="majorBidi" w:eastAsia="Calibri" w:hAnsiTheme="majorBidi" w:cstheme="majorBidi"/>
          <w:b w:val="0"/>
          <w:bCs w:val="0"/>
          <w:sz w:val="24"/>
          <w:szCs w:val="24"/>
          <w:lang w:val="en-US"/>
        </w:rPr>
        <w:t xml:space="preserve">superiority </w:t>
      </w:r>
      <w:r w:rsidR="00072722" w:rsidRPr="00ED3855">
        <w:rPr>
          <w:rFonts w:asciiTheme="majorBidi" w:eastAsia="Calibri" w:hAnsiTheme="majorBidi" w:cstheme="majorBidi"/>
          <w:b w:val="0"/>
          <w:bCs w:val="0"/>
          <w:sz w:val="24"/>
          <w:szCs w:val="24"/>
          <w:lang w:val="en-US"/>
        </w:rPr>
        <w:t xml:space="preserve">LTSC (of the MoO) is much more than PSCs (of KRG) </w:t>
      </w:r>
      <w:r w:rsidR="00735C1A" w:rsidRPr="00ED3855">
        <w:rPr>
          <w:rFonts w:asciiTheme="majorBidi" w:eastAsia="Calibri" w:hAnsiTheme="majorBidi" w:cstheme="majorBidi"/>
          <w:b w:val="0"/>
          <w:bCs w:val="0"/>
          <w:sz w:val="24"/>
          <w:szCs w:val="24"/>
          <w:lang w:val="en-US"/>
        </w:rPr>
        <w:t xml:space="preserve">in terms of </w:t>
      </w:r>
      <w:r w:rsidR="00A32D93">
        <w:rPr>
          <w:rFonts w:asciiTheme="majorBidi" w:eastAsia="Calibri" w:hAnsiTheme="majorBidi" w:cstheme="majorBidi"/>
          <w:b w:val="0"/>
          <w:bCs w:val="0"/>
          <w:sz w:val="24"/>
          <w:szCs w:val="24"/>
          <w:lang w:val="en-US"/>
        </w:rPr>
        <w:t xml:space="preserve">much lower Net </w:t>
      </w:r>
      <w:r w:rsidR="00735C1A" w:rsidRPr="00ED3855">
        <w:rPr>
          <w:rFonts w:asciiTheme="majorBidi" w:eastAsia="Calibri" w:hAnsiTheme="majorBidi" w:cstheme="majorBidi"/>
          <w:b w:val="0"/>
          <w:bCs w:val="0"/>
          <w:sz w:val="24"/>
          <w:szCs w:val="24"/>
          <w:lang w:val="en-US"/>
        </w:rPr>
        <w:t xml:space="preserve">IOCs-take for their involvement in the development of upstream petroleum. </w:t>
      </w:r>
      <w:r w:rsidR="00072722" w:rsidRPr="00ED3855">
        <w:rPr>
          <w:rFonts w:asciiTheme="majorBidi" w:eastAsia="Calibri" w:hAnsiTheme="majorBidi" w:cstheme="majorBidi"/>
          <w:b w:val="0"/>
          <w:bCs w:val="0"/>
          <w:sz w:val="24"/>
          <w:szCs w:val="24"/>
          <w:lang w:val="en-US"/>
        </w:rPr>
        <w:t xml:space="preserve"> </w:t>
      </w:r>
    </w:p>
    <w:p w:rsidR="00D509AE" w:rsidRPr="00ED3855" w:rsidRDefault="00D509AE" w:rsidP="00D509AE">
      <w:pPr>
        <w:pStyle w:val="Heading1"/>
        <w:spacing w:before="0" w:beforeAutospacing="0" w:after="0" w:afterAutospacing="0"/>
        <w:rPr>
          <w:rFonts w:asciiTheme="majorBidi" w:hAnsiTheme="majorBidi" w:cstheme="majorBidi"/>
          <w:b w:val="0"/>
          <w:bCs w:val="0"/>
          <w:sz w:val="24"/>
          <w:szCs w:val="24"/>
          <w:lang w:val="en-US"/>
        </w:rPr>
      </w:pPr>
    </w:p>
    <w:p w:rsidR="00AE0B09" w:rsidRPr="00ED3855" w:rsidRDefault="00AE0B09" w:rsidP="00AE0B09">
      <w:pPr>
        <w:spacing w:after="0"/>
        <w:rPr>
          <w:rFonts w:asciiTheme="majorBidi" w:hAnsiTheme="majorBidi" w:cstheme="majorBidi"/>
          <w:b/>
          <w:bCs/>
          <w:sz w:val="24"/>
          <w:szCs w:val="24"/>
          <w:lang w:val="en-US"/>
        </w:rPr>
      </w:pPr>
      <w:proofErr w:type="gramStart"/>
      <w:r>
        <w:rPr>
          <w:rFonts w:asciiTheme="majorBidi" w:hAnsiTheme="majorBidi" w:cstheme="majorBidi"/>
          <w:b/>
          <w:bCs/>
          <w:sz w:val="24"/>
          <w:szCs w:val="24"/>
          <w:lang w:val="en-US"/>
        </w:rPr>
        <w:t>Third</w:t>
      </w:r>
      <w:r w:rsidRPr="00ED3855">
        <w:rPr>
          <w:rFonts w:asciiTheme="majorBidi" w:hAnsiTheme="majorBidi" w:cstheme="majorBidi"/>
          <w:b/>
          <w:bCs/>
          <w:sz w:val="24"/>
          <w:szCs w:val="24"/>
          <w:lang w:val="en-US"/>
        </w:rPr>
        <w:t>; The Constitutionality and Legality of Production Sharing Contracts-PSCs.</w:t>
      </w:r>
      <w:proofErr w:type="gramEnd"/>
      <w:r w:rsidRPr="00ED3855">
        <w:rPr>
          <w:rFonts w:asciiTheme="majorBidi" w:hAnsiTheme="majorBidi" w:cstheme="majorBidi"/>
          <w:b/>
          <w:bCs/>
          <w:sz w:val="24"/>
          <w:szCs w:val="24"/>
          <w:lang w:val="en-US"/>
        </w:rPr>
        <w:t xml:space="preserve">    </w:t>
      </w:r>
    </w:p>
    <w:p w:rsidR="00AE0B09" w:rsidRPr="00ED3855" w:rsidRDefault="00AE0B09" w:rsidP="00AE0B09">
      <w:pPr>
        <w:autoSpaceDE w:val="0"/>
        <w:autoSpaceDN w:val="0"/>
        <w:adjustRightInd w:val="0"/>
        <w:spacing w:after="0"/>
        <w:rPr>
          <w:rFonts w:asciiTheme="majorBidi" w:hAnsiTheme="majorBidi" w:cstheme="majorBidi"/>
          <w:sz w:val="24"/>
          <w:szCs w:val="24"/>
          <w:lang w:val="en-US"/>
        </w:rPr>
      </w:pPr>
      <w:r w:rsidRPr="00ED3855">
        <w:rPr>
          <w:rFonts w:asciiTheme="majorBidi" w:hAnsiTheme="majorBidi" w:cstheme="majorBidi"/>
          <w:sz w:val="24"/>
          <w:szCs w:val="24"/>
          <w:lang w:val="en-US"/>
        </w:rPr>
        <w:t>PSCs contravene the Iraqi Constitution in at least two major provisions; they violate the principle of  “Collective Ownership” enshrined in Article 111, which asserts “</w:t>
      </w:r>
      <w:r w:rsidRPr="00ED3855">
        <w:rPr>
          <w:rFonts w:asciiTheme="majorBidi" w:hAnsiTheme="majorBidi" w:cstheme="majorBidi"/>
          <w:color w:val="000000"/>
          <w:sz w:val="24"/>
          <w:szCs w:val="24"/>
          <w:lang w:val="en-US"/>
        </w:rPr>
        <w:t xml:space="preserve">Oil and gas are owned by all the people of Iraq in all the regions and governorates”; and the principle of </w:t>
      </w:r>
      <w:r w:rsidRPr="00ED3855">
        <w:rPr>
          <w:rFonts w:asciiTheme="majorBidi" w:hAnsiTheme="majorBidi" w:cstheme="majorBidi"/>
          <w:sz w:val="24"/>
          <w:szCs w:val="24"/>
          <w:lang w:val="en-US"/>
        </w:rPr>
        <w:t>achieving “the highest benefit to the Iraqi people” enshrined in Article 112-second.</w:t>
      </w:r>
    </w:p>
    <w:p w:rsidR="00AE0B09" w:rsidRPr="00ED3855" w:rsidRDefault="00AE0B09" w:rsidP="00AE0B09">
      <w:pPr>
        <w:autoSpaceDE w:val="0"/>
        <w:autoSpaceDN w:val="0"/>
        <w:adjustRightInd w:val="0"/>
        <w:spacing w:after="0"/>
        <w:rPr>
          <w:rFonts w:asciiTheme="majorBidi" w:hAnsiTheme="majorBidi" w:cstheme="majorBidi"/>
          <w:sz w:val="24"/>
          <w:szCs w:val="24"/>
          <w:lang w:val="en-US"/>
        </w:rPr>
      </w:pPr>
    </w:p>
    <w:p w:rsidR="00AE0B09" w:rsidRPr="00ED3855" w:rsidRDefault="00AE0B09" w:rsidP="00AE0B09">
      <w:pPr>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Briefly, PSCs violation of Article 111 can be manifested by known practices and concepts pertaining to “book reserves”, “reserve-based lending”, “mercantile title” and </w:t>
      </w:r>
      <w:proofErr w:type="gramStart"/>
      <w:r w:rsidRPr="00ED3855">
        <w:rPr>
          <w:rFonts w:asciiTheme="majorBidi" w:hAnsiTheme="majorBidi" w:cstheme="majorBidi"/>
          <w:sz w:val="24"/>
          <w:szCs w:val="24"/>
          <w:lang w:val="en-US"/>
        </w:rPr>
        <w:t>many  international</w:t>
      </w:r>
      <w:proofErr w:type="gramEnd"/>
      <w:r w:rsidRPr="00ED3855">
        <w:rPr>
          <w:rFonts w:asciiTheme="majorBidi" w:hAnsiTheme="majorBidi" w:cstheme="majorBidi"/>
          <w:sz w:val="24"/>
          <w:szCs w:val="24"/>
          <w:lang w:val="en-US"/>
        </w:rPr>
        <w:t xml:space="preserve"> arbitration cases. The clear implication is that IOCs, under PSCs, have or construed to have “ownership claim” over the petroleum “reserves” of the related PSC.  </w:t>
      </w:r>
    </w:p>
    <w:p w:rsidR="00AE0B09" w:rsidRPr="00ED3855" w:rsidRDefault="00AE0B09" w:rsidP="00AE0B09">
      <w:pPr>
        <w:autoSpaceDE w:val="0"/>
        <w:autoSpaceDN w:val="0"/>
        <w:adjustRightInd w:val="0"/>
        <w:spacing w:after="0"/>
        <w:rPr>
          <w:rFonts w:asciiTheme="majorBidi" w:hAnsiTheme="majorBidi" w:cstheme="majorBidi"/>
          <w:sz w:val="24"/>
          <w:szCs w:val="24"/>
          <w:lang w:val="en-US"/>
        </w:rPr>
      </w:pPr>
      <w:r w:rsidRPr="00ED3855">
        <w:rPr>
          <w:rFonts w:asciiTheme="majorBidi" w:hAnsiTheme="majorBidi" w:cstheme="majorBidi"/>
          <w:sz w:val="24"/>
          <w:szCs w:val="24"/>
          <w:lang w:val="en-US"/>
        </w:rPr>
        <w:t xml:space="preserve">As for the violation of Article 112-second it is mainly of comparative nature between PSCs and other contracting modalities, such as the </w:t>
      </w:r>
      <w:r>
        <w:rPr>
          <w:rFonts w:asciiTheme="majorBidi" w:hAnsiTheme="majorBidi" w:cstheme="majorBidi"/>
          <w:sz w:val="24"/>
          <w:szCs w:val="24"/>
          <w:lang w:val="en-US"/>
        </w:rPr>
        <w:t>L</w:t>
      </w:r>
      <w:r w:rsidRPr="00ED3855">
        <w:rPr>
          <w:rFonts w:asciiTheme="majorBidi" w:hAnsiTheme="majorBidi" w:cstheme="majorBidi"/>
          <w:sz w:val="24"/>
          <w:szCs w:val="24"/>
          <w:lang w:val="en-US"/>
        </w:rPr>
        <w:t xml:space="preserve">ong </w:t>
      </w:r>
      <w:r>
        <w:rPr>
          <w:rFonts w:asciiTheme="majorBidi" w:hAnsiTheme="majorBidi" w:cstheme="majorBidi"/>
          <w:sz w:val="24"/>
          <w:szCs w:val="24"/>
          <w:lang w:val="en-US"/>
        </w:rPr>
        <w:t>T</w:t>
      </w:r>
      <w:r w:rsidRPr="00ED3855">
        <w:rPr>
          <w:rFonts w:asciiTheme="majorBidi" w:hAnsiTheme="majorBidi" w:cstheme="majorBidi"/>
          <w:sz w:val="24"/>
          <w:szCs w:val="24"/>
          <w:lang w:val="en-US"/>
        </w:rPr>
        <w:t xml:space="preserve">erm </w:t>
      </w:r>
      <w:r>
        <w:rPr>
          <w:rFonts w:asciiTheme="majorBidi" w:hAnsiTheme="majorBidi" w:cstheme="majorBidi"/>
          <w:sz w:val="24"/>
          <w:szCs w:val="24"/>
          <w:lang w:val="en-US"/>
        </w:rPr>
        <w:t>S</w:t>
      </w:r>
      <w:r w:rsidRPr="00ED3855">
        <w:rPr>
          <w:rFonts w:asciiTheme="majorBidi" w:hAnsiTheme="majorBidi" w:cstheme="majorBidi"/>
          <w:sz w:val="24"/>
          <w:szCs w:val="24"/>
          <w:lang w:val="en-US"/>
        </w:rPr>
        <w:t xml:space="preserve">ervice </w:t>
      </w:r>
      <w:r>
        <w:rPr>
          <w:rFonts w:asciiTheme="majorBidi" w:hAnsiTheme="majorBidi" w:cstheme="majorBidi"/>
          <w:sz w:val="24"/>
          <w:szCs w:val="24"/>
          <w:lang w:val="en-US"/>
        </w:rPr>
        <w:t>C</w:t>
      </w:r>
      <w:r w:rsidRPr="00ED3855">
        <w:rPr>
          <w:rFonts w:asciiTheme="majorBidi" w:hAnsiTheme="majorBidi" w:cstheme="majorBidi"/>
          <w:sz w:val="24"/>
          <w:szCs w:val="24"/>
          <w:lang w:val="en-US"/>
        </w:rPr>
        <w:t xml:space="preserve">ontacts-LTSCs concluded by the </w:t>
      </w:r>
      <w:r>
        <w:rPr>
          <w:rFonts w:asciiTheme="majorBidi" w:hAnsiTheme="majorBidi" w:cstheme="majorBidi"/>
          <w:sz w:val="24"/>
          <w:szCs w:val="24"/>
          <w:lang w:val="en-US"/>
        </w:rPr>
        <w:t>F</w:t>
      </w:r>
      <w:r w:rsidRPr="00ED3855">
        <w:rPr>
          <w:rFonts w:asciiTheme="majorBidi" w:hAnsiTheme="majorBidi" w:cstheme="majorBidi"/>
          <w:sz w:val="24"/>
          <w:szCs w:val="24"/>
          <w:lang w:val="en-US"/>
        </w:rPr>
        <w:t xml:space="preserve">ederal Ministry of Oil.  </w:t>
      </w:r>
    </w:p>
    <w:p w:rsidR="00AE0B09" w:rsidRDefault="00AE0B09" w:rsidP="00AE0B09">
      <w:pPr>
        <w:spacing w:after="0"/>
        <w:rPr>
          <w:rFonts w:asciiTheme="majorBidi" w:hAnsiTheme="majorBidi" w:cstheme="majorBidi"/>
          <w:sz w:val="24"/>
          <w:szCs w:val="24"/>
          <w:lang w:val="en-US"/>
        </w:rPr>
      </w:pPr>
    </w:p>
    <w:p w:rsidR="00AE0B09" w:rsidRPr="00ED3855" w:rsidRDefault="00AE0B09" w:rsidP="003A31AB">
      <w:pPr>
        <w:spacing w:after="0"/>
        <w:rPr>
          <w:rFonts w:asciiTheme="majorBidi" w:hAnsiTheme="majorBidi" w:cstheme="majorBidi"/>
          <w:sz w:val="24"/>
          <w:szCs w:val="24"/>
          <w:lang w:val="en-US"/>
        </w:rPr>
      </w:pPr>
      <w:r>
        <w:rPr>
          <w:rFonts w:asciiTheme="majorBidi" w:hAnsiTheme="majorBidi" w:cstheme="majorBidi"/>
          <w:sz w:val="24"/>
          <w:szCs w:val="24"/>
          <w:lang w:val="en-US"/>
        </w:rPr>
        <w:t>M</w:t>
      </w:r>
      <w:r w:rsidRPr="00ED3855">
        <w:rPr>
          <w:rFonts w:asciiTheme="majorBidi" w:hAnsiTheme="majorBidi" w:cstheme="majorBidi"/>
          <w:sz w:val="24"/>
          <w:szCs w:val="24"/>
          <w:lang w:val="en-US"/>
        </w:rPr>
        <w:t xml:space="preserve">ost consulted </w:t>
      </w:r>
      <w:r>
        <w:rPr>
          <w:rFonts w:asciiTheme="majorBidi" w:hAnsiTheme="majorBidi" w:cstheme="majorBidi"/>
          <w:sz w:val="24"/>
          <w:szCs w:val="24"/>
          <w:lang w:val="en-US"/>
        </w:rPr>
        <w:t xml:space="preserve">and available professional sources and </w:t>
      </w:r>
      <w:r w:rsidRPr="00ED3855">
        <w:rPr>
          <w:rFonts w:asciiTheme="majorBidi" w:hAnsiTheme="majorBidi" w:cstheme="majorBidi"/>
          <w:sz w:val="24"/>
          <w:szCs w:val="24"/>
          <w:lang w:val="en-US"/>
        </w:rPr>
        <w:t xml:space="preserve">material indicate that LTSCs serve better “the highest benefit to the Iraqi people” than PSCs. </w:t>
      </w:r>
    </w:p>
    <w:p w:rsidR="00AE0B09" w:rsidRDefault="00AE0B09" w:rsidP="008D5CE7">
      <w:pPr>
        <w:pStyle w:val="Heading1"/>
        <w:spacing w:before="0" w:beforeAutospacing="0" w:after="0" w:afterAutospacing="0" w:line="276" w:lineRule="auto"/>
        <w:rPr>
          <w:rFonts w:asciiTheme="majorBidi" w:hAnsiTheme="majorBidi" w:cstheme="majorBidi"/>
          <w:color w:val="000000" w:themeColor="text1"/>
          <w:sz w:val="24"/>
          <w:szCs w:val="24"/>
          <w:lang w:val="en-US"/>
        </w:rPr>
      </w:pPr>
    </w:p>
    <w:p w:rsidR="00665A4E" w:rsidRPr="00ED3855" w:rsidRDefault="00665A4E" w:rsidP="008D5CE7">
      <w:pPr>
        <w:pStyle w:val="Heading1"/>
        <w:spacing w:before="0" w:beforeAutospacing="0" w:after="0" w:afterAutospacing="0" w:line="276" w:lineRule="auto"/>
        <w:rPr>
          <w:rFonts w:asciiTheme="majorBidi" w:hAnsiTheme="majorBidi" w:cstheme="majorBidi"/>
          <w:color w:val="000000" w:themeColor="text1"/>
          <w:sz w:val="24"/>
          <w:szCs w:val="24"/>
          <w:lang w:val="en-US"/>
        </w:rPr>
      </w:pPr>
      <w:r w:rsidRPr="00ED3855">
        <w:rPr>
          <w:rFonts w:asciiTheme="majorBidi" w:hAnsiTheme="majorBidi" w:cstheme="majorBidi"/>
          <w:color w:val="000000" w:themeColor="text1"/>
          <w:sz w:val="24"/>
          <w:szCs w:val="24"/>
          <w:lang w:val="en-US"/>
        </w:rPr>
        <w:t xml:space="preserve">Concluding Remarks </w:t>
      </w:r>
    </w:p>
    <w:p w:rsidR="008D5CE7" w:rsidRPr="00ED3855" w:rsidRDefault="00665A4E" w:rsidP="008D5CE7">
      <w:pPr>
        <w:pStyle w:val="Heading1"/>
        <w:spacing w:before="0" w:beforeAutospacing="0" w:after="0" w:afterAutospacing="0" w:line="276" w:lineRule="auto"/>
        <w:rPr>
          <w:rFonts w:asciiTheme="majorBidi" w:hAnsiTheme="majorBidi" w:cstheme="majorBidi"/>
          <w:b w:val="0"/>
          <w:bCs w:val="0"/>
          <w:color w:val="000000" w:themeColor="text1"/>
          <w:sz w:val="24"/>
          <w:szCs w:val="24"/>
          <w:lang w:val="en-US"/>
        </w:rPr>
      </w:pPr>
      <w:r w:rsidRPr="00ED3855">
        <w:rPr>
          <w:rFonts w:asciiTheme="majorBidi" w:hAnsiTheme="majorBidi" w:cstheme="majorBidi"/>
          <w:b w:val="0"/>
          <w:bCs w:val="0"/>
          <w:color w:val="000000" w:themeColor="text1"/>
          <w:sz w:val="24"/>
          <w:szCs w:val="24"/>
          <w:lang w:val="en-US"/>
        </w:rPr>
        <w:lastRenderedPageBreak/>
        <w:t>There is an orchestrated campaign against LTSC by deliberately inflating the capital cost components, highlighting serious misconceptions and calling for their revision or converting to PSC!!!</w:t>
      </w:r>
    </w:p>
    <w:p w:rsidR="008D5CE7" w:rsidRPr="00ED3855" w:rsidRDefault="008D5CE7" w:rsidP="008D5CE7">
      <w:pPr>
        <w:pStyle w:val="Heading1"/>
        <w:spacing w:before="0" w:beforeAutospacing="0" w:after="0" w:afterAutospacing="0" w:line="276" w:lineRule="auto"/>
        <w:rPr>
          <w:rFonts w:asciiTheme="majorBidi" w:hAnsiTheme="majorBidi" w:cstheme="majorBidi"/>
          <w:b w:val="0"/>
          <w:bCs w:val="0"/>
          <w:color w:val="000000" w:themeColor="text1"/>
          <w:sz w:val="24"/>
          <w:szCs w:val="24"/>
          <w:lang w:val="en-US"/>
        </w:rPr>
      </w:pPr>
    </w:p>
    <w:p w:rsidR="00AA7123" w:rsidRPr="00ED3855" w:rsidRDefault="008C4ACA" w:rsidP="008C4ACA">
      <w:pPr>
        <w:pStyle w:val="Heading1"/>
        <w:spacing w:before="0" w:beforeAutospacing="0" w:line="276" w:lineRule="auto"/>
        <w:rPr>
          <w:rFonts w:asciiTheme="majorBidi" w:hAnsiTheme="majorBidi" w:cstheme="majorBidi"/>
          <w:b w:val="0"/>
          <w:bCs w:val="0"/>
          <w:color w:val="000000" w:themeColor="text1"/>
          <w:sz w:val="24"/>
          <w:szCs w:val="24"/>
          <w:lang w:val="en-US"/>
        </w:rPr>
      </w:pPr>
      <w:r w:rsidRPr="00ED3855">
        <w:rPr>
          <w:rFonts w:asciiTheme="majorBidi" w:hAnsiTheme="majorBidi" w:cstheme="majorBidi"/>
          <w:b w:val="0"/>
          <w:bCs w:val="0"/>
          <w:color w:val="000000" w:themeColor="text1"/>
          <w:sz w:val="24"/>
          <w:szCs w:val="24"/>
          <w:lang w:val="en-US"/>
        </w:rPr>
        <w:t xml:space="preserve">The Ministry of Oil has to be </w:t>
      </w:r>
      <w:r w:rsidRPr="00ED3855">
        <w:rPr>
          <w:rFonts w:asciiTheme="majorBidi" w:hAnsiTheme="majorBidi" w:cstheme="majorBidi"/>
          <w:b w:val="0"/>
          <w:bCs w:val="0"/>
          <w:color w:val="000000" w:themeColor="text1"/>
          <w:sz w:val="24"/>
          <w:szCs w:val="24"/>
          <w:u w:val="single"/>
          <w:lang w:val="en-US"/>
        </w:rPr>
        <w:t>transparent</w:t>
      </w:r>
      <w:r w:rsidRPr="00ED3855">
        <w:rPr>
          <w:rFonts w:asciiTheme="majorBidi" w:hAnsiTheme="majorBidi" w:cstheme="majorBidi"/>
          <w:b w:val="0"/>
          <w:bCs w:val="0"/>
          <w:color w:val="000000" w:themeColor="text1"/>
          <w:sz w:val="24"/>
          <w:szCs w:val="24"/>
          <w:lang w:val="en-US"/>
        </w:rPr>
        <w:t xml:space="preserve"> by providing full, accurate and updated official data pertaining to its LTSCs; the Ministry should also be more </w:t>
      </w:r>
      <w:r w:rsidRPr="00ED3855">
        <w:rPr>
          <w:rFonts w:asciiTheme="majorBidi" w:hAnsiTheme="majorBidi" w:cstheme="majorBidi"/>
          <w:b w:val="0"/>
          <w:bCs w:val="0"/>
          <w:color w:val="000000" w:themeColor="text1"/>
          <w:sz w:val="24"/>
          <w:szCs w:val="24"/>
          <w:u w:val="single"/>
          <w:lang w:val="en-US"/>
        </w:rPr>
        <w:t>responsive</w:t>
      </w:r>
      <w:r w:rsidRPr="00ED3855">
        <w:rPr>
          <w:rFonts w:asciiTheme="majorBidi" w:hAnsiTheme="majorBidi" w:cstheme="majorBidi"/>
          <w:b w:val="0"/>
          <w:bCs w:val="0"/>
          <w:color w:val="000000" w:themeColor="text1"/>
          <w:sz w:val="24"/>
          <w:szCs w:val="24"/>
          <w:lang w:val="en-US"/>
        </w:rPr>
        <w:t xml:space="preserve"> to inaccurate and fallacious statements in this regards; the Ministry should be </w:t>
      </w:r>
      <w:r w:rsidRPr="00ED3855">
        <w:rPr>
          <w:rFonts w:asciiTheme="majorBidi" w:hAnsiTheme="majorBidi" w:cstheme="majorBidi"/>
          <w:b w:val="0"/>
          <w:bCs w:val="0"/>
          <w:color w:val="000000" w:themeColor="text1"/>
          <w:sz w:val="24"/>
          <w:szCs w:val="24"/>
          <w:u w:val="single"/>
          <w:lang w:val="en-US"/>
        </w:rPr>
        <w:t>open</w:t>
      </w:r>
      <w:r w:rsidRPr="00ED3855">
        <w:rPr>
          <w:rFonts w:asciiTheme="majorBidi" w:hAnsiTheme="majorBidi" w:cstheme="majorBidi"/>
          <w:b w:val="0"/>
          <w:bCs w:val="0"/>
          <w:color w:val="000000" w:themeColor="text1"/>
          <w:sz w:val="24"/>
          <w:szCs w:val="24"/>
          <w:lang w:val="en-US"/>
        </w:rPr>
        <w:t xml:space="preserve"> by posting all necessary information on its website</w:t>
      </w:r>
      <w:r>
        <w:rPr>
          <w:rFonts w:asciiTheme="majorBidi" w:hAnsiTheme="majorBidi" w:cstheme="majorBidi"/>
          <w:b w:val="0"/>
          <w:bCs w:val="0"/>
          <w:color w:val="000000" w:themeColor="text1"/>
          <w:sz w:val="24"/>
          <w:szCs w:val="24"/>
          <w:lang w:val="en-US"/>
        </w:rPr>
        <w:t xml:space="preserve">; </w:t>
      </w:r>
      <w:r w:rsidRPr="00ED3855">
        <w:rPr>
          <w:rFonts w:asciiTheme="majorBidi" w:hAnsiTheme="majorBidi" w:cstheme="majorBidi"/>
          <w:b w:val="0"/>
          <w:bCs w:val="0"/>
          <w:color w:val="000000" w:themeColor="text1"/>
          <w:sz w:val="24"/>
          <w:szCs w:val="24"/>
          <w:lang w:val="en-US"/>
        </w:rPr>
        <w:t>finally,</w:t>
      </w:r>
      <w:r>
        <w:rPr>
          <w:rFonts w:asciiTheme="majorBidi" w:hAnsiTheme="majorBidi" w:cstheme="majorBidi"/>
          <w:b w:val="0"/>
          <w:bCs w:val="0"/>
          <w:color w:val="000000" w:themeColor="text1"/>
          <w:sz w:val="24"/>
          <w:szCs w:val="24"/>
          <w:lang w:val="en-US"/>
        </w:rPr>
        <w:t xml:space="preserve"> the Ministry should be </w:t>
      </w:r>
      <w:r w:rsidRPr="008C4ACA">
        <w:rPr>
          <w:rFonts w:asciiTheme="majorBidi" w:hAnsiTheme="majorBidi" w:cstheme="majorBidi"/>
          <w:b w:val="0"/>
          <w:bCs w:val="0"/>
          <w:color w:val="000000" w:themeColor="text1"/>
          <w:sz w:val="24"/>
          <w:szCs w:val="24"/>
          <w:u w:val="single"/>
          <w:lang w:val="en-US"/>
        </w:rPr>
        <w:t>truthful</w:t>
      </w:r>
      <w:r>
        <w:rPr>
          <w:rFonts w:asciiTheme="majorBidi" w:hAnsiTheme="majorBidi" w:cstheme="majorBidi"/>
          <w:b w:val="0"/>
          <w:bCs w:val="0"/>
          <w:color w:val="000000" w:themeColor="text1"/>
          <w:sz w:val="24"/>
          <w:szCs w:val="24"/>
          <w:lang w:val="en-US"/>
        </w:rPr>
        <w:t xml:space="preserve"> on the conversion to PSCs rumors</w:t>
      </w:r>
      <w:r w:rsidRPr="00ED3855">
        <w:rPr>
          <w:rFonts w:asciiTheme="majorBidi" w:hAnsiTheme="majorBidi" w:cstheme="majorBidi"/>
          <w:b w:val="0"/>
          <w:bCs w:val="0"/>
          <w:color w:val="000000" w:themeColor="text1"/>
          <w:sz w:val="24"/>
          <w:szCs w:val="24"/>
          <w:lang w:val="en-US"/>
        </w:rPr>
        <w:t xml:space="preserve">.   </w:t>
      </w:r>
    </w:p>
    <w:p w:rsidR="00F31675" w:rsidRPr="00ED3855" w:rsidRDefault="004E2D09" w:rsidP="008D5CE7">
      <w:pPr>
        <w:pStyle w:val="Heading1"/>
        <w:spacing w:before="0" w:beforeAutospacing="0" w:line="276" w:lineRule="auto"/>
        <w:rPr>
          <w:rFonts w:asciiTheme="majorBidi" w:eastAsia="Calibri" w:hAnsiTheme="majorBidi" w:cstheme="majorBidi"/>
          <w:b w:val="0"/>
          <w:bCs w:val="0"/>
          <w:color w:val="000000" w:themeColor="text1"/>
          <w:sz w:val="24"/>
          <w:szCs w:val="24"/>
          <w:lang w:val="en-US"/>
        </w:rPr>
      </w:pPr>
      <w:r w:rsidRPr="00ED3855">
        <w:rPr>
          <w:rFonts w:asciiTheme="majorBidi" w:eastAsia="Calibri" w:hAnsiTheme="majorBidi" w:cstheme="majorBidi"/>
          <w:b w:val="0"/>
          <w:bCs w:val="0"/>
          <w:color w:val="000000" w:themeColor="text1"/>
          <w:sz w:val="24"/>
          <w:szCs w:val="24"/>
          <w:lang w:val="en-US"/>
        </w:rPr>
        <w:t xml:space="preserve">For those who call for converting these service contracts into production sharing contracts-they should compare the above mentioned weighted averages with the </w:t>
      </w:r>
      <w:r w:rsidRPr="00ED3855">
        <w:rPr>
          <w:rFonts w:asciiTheme="majorBidi" w:eastAsia="Calibri" w:hAnsiTheme="majorBidi" w:cstheme="majorBidi"/>
          <w:b w:val="0"/>
          <w:bCs w:val="0"/>
          <w:color w:val="000000" w:themeColor="text1"/>
          <w:sz w:val="24"/>
          <w:szCs w:val="24"/>
          <w:u w:val="single"/>
          <w:lang w:val="en-US"/>
        </w:rPr>
        <w:t>IOCs-take in the “profit oil” under any PSCs</w:t>
      </w:r>
      <w:r w:rsidRPr="00ED3855">
        <w:rPr>
          <w:rFonts w:asciiTheme="majorBidi" w:eastAsia="Calibri" w:hAnsiTheme="majorBidi" w:cstheme="majorBidi"/>
          <w:b w:val="0"/>
          <w:bCs w:val="0"/>
          <w:color w:val="000000" w:themeColor="text1"/>
          <w:sz w:val="24"/>
          <w:szCs w:val="24"/>
          <w:lang w:val="en-US"/>
        </w:rPr>
        <w:t xml:space="preserve"> such as those concluded by KRG.  They will soon realize how superior are the Iraqi service contracts and how these service contracts serve best the highest interest of the Iraqi people as enshrined in the Constitution.</w:t>
      </w:r>
      <w:r w:rsidR="00AC07D3">
        <w:rPr>
          <w:rFonts w:asciiTheme="majorBidi" w:eastAsia="Calibri" w:hAnsiTheme="majorBidi" w:cstheme="majorBidi"/>
          <w:b w:val="0"/>
          <w:bCs w:val="0"/>
          <w:color w:val="000000" w:themeColor="text1"/>
          <w:sz w:val="24"/>
          <w:szCs w:val="24"/>
          <w:lang w:val="en-US"/>
        </w:rPr>
        <w:t xml:space="preserve"> Moreover, PSC violates the collective ownership of petroleum resources and, thus, they are unconstitutional.</w:t>
      </w:r>
      <w:r w:rsidRPr="00ED3855">
        <w:rPr>
          <w:rFonts w:asciiTheme="majorBidi" w:eastAsia="Calibri" w:hAnsiTheme="majorBidi" w:cstheme="majorBidi"/>
          <w:b w:val="0"/>
          <w:bCs w:val="0"/>
          <w:color w:val="000000" w:themeColor="text1"/>
          <w:sz w:val="24"/>
          <w:szCs w:val="24"/>
          <w:lang w:val="en-US"/>
        </w:rPr>
        <w:t xml:space="preserve"> </w:t>
      </w:r>
    </w:p>
    <w:p w:rsidR="00214227" w:rsidRDefault="004E2D09" w:rsidP="00CC7336">
      <w:pPr>
        <w:pStyle w:val="Heading1"/>
        <w:spacing w:before="0" w:beforeAutospacing="0" w:line="276" w:lineRule="auto"/>
        <w:rPr>
          <w:rFonts w:asciiTheme="majorBidi" w:eastAsia="Calibri" w:hAnsiTheme="majorBidi" w:cstheme="majorBidi"/>
          <w:b w:val="0"/>
          <w:bCs w:val="0"/>
          <w:color w:val="000000" w:themeColor="text1"/>
          <w:sz w:val="24"/>
          <w:szCs w:val="24"/>
          <w:lang w:val="en-US"/>
        </w:rPr>
      </w:pPr>
      <w:r w:rsidRPr="00ED3855">
        <w:rPr>
          <w:rFonts w:asciiTheme="majorBidi" w:eastAsia="Calibri" w:hAnsiTheme="majorBidi" w:cstheme="majorBidi"/>
          <w:b w:val="0"/>
          <w:bCs w:val="0"/>
          <w:color w:val="000000" w:themeColor="text1"/>
          <w:sz w:val="24"/>
          <w:szCs w:val="24"/>
          <w:lang w:val="en-US"/>
        </w:rPr>
        <w:t xml:space="preserve">The Iraqi government and the Ministry of Oil should not even think of </w:t>
      </w:r>
      <w:r w:rsidR="00AA7123" w:rsidRPr="00ED3855">
        <w:rPr>
          <w:rFonts w:asciiTheme="majorBidi" w:eastAsia="Calibri" w:hAnsiTheme="majorBidi" w:cstheme="majorBidi"/>
          <w:b w:val="0"/>
          <w:bCs w:val="0"/>
          <w:color w:val="000000" w:themeColor="text1"/>
          <w:sz w:val="24"/>
          <w:szCs w:val="24"/>
          <w:lang w:val="en-US"/>
        </w:rPr>
        <w:t xml:space="preserve">any </w:t>
      </w:r>
      <w:r w:rsidRPr="00ED3855">
        <w:rPr>
          <w:rFonts w:asciiTheme="majorBidi" w:eastAsia="Calibri" w:hAnsiTheme="majorBidi" w:cstheme="majorBidi"/>
          <w:b w:val="0"/>
          <w:bCs w:val="0"/>
          <w:color w:val="000000" w:themeColor="text1"/>
          <w:sz w:val="24"/>
          <w:szCs w:val="24"/>
          <w:lang w:val="en-US"/>
        </w:rPr>
        <w:t>conversion</w:t>
      </w:r>
      <w:r w:rsidR="00AA7123" w:rsidRPr="00ED3855">
        <w:rPr>
          <w:rFonts w:asciiTheme="majorBidi" w:eastAsia="Calibri" w:hAnsiTheme="majorBidi" w:cstheme="majorBidi"/>
          <w:b w:val="0"/>
          <w:bCs w:val="0"/>
          <w:color w:val="000000" w:themeColor="text1"/>
          <w:sz w:val="24"/>
          <w:szCs w:val="24"/>
          <w:lang w:val="en-US"/>
        </w:rPr>
        <w:t xml:space="preserve"> to PSC</w:t>
      </w:r>
      <w:r w:rsidRPr="00ED3855">
        <w:rPr>
          <w:rFonts w:asciiTheme="majorBidi" w:eastAsia="Calibri" w:hAnsiTheme="majorBidi" w:cstheme="majorBidi"/>
          <w:b w:val="0"/>
          <w:bCs w:val="0"/>
          <w:color w:val="000000" w:themeColor="text1"/>
          <w:sz w:val="24"/>
          <w:szCs w:val="24"/>
          <w:lang w:val="en-US"/>
        </w:rPr>
        <w:t xml:space="preserve"> option as such conversion will be disastrous for Iraq, worsen its financial crisis</w:t>
      </w:r>
      <w:r w:rsidR="00CC7336">
        <w:rPr>
          <w:rFonts w:asciiTheme="majorBidi" w:eastAsia="Calibri" w:hAnsiTheme="majorBidi" w:cstheme="majorBidi"/>
          <w:b w:val="0"/>
          <w:bCs w:val="0"/>
          <w:color w:val="000000" w:themeColor="text1"/>
          <w:sz w:val="24"/>
          <w:szCs w:val="24"/>
          <w:lang w:val="en-US"/>
        </w:rPr>
        <w:t>,</w:t>
      </w:r>
      <w:r w:rsidRPr="00ED3855">
        <w:rPr>
          <w:rFonts w:asciiTheme="majorBidi" w:eastAsia="Calibri" w:hAnsiTheme="majorBidi" w:cstheme="majorBidi"/>
          <w:b w:val="0"/>
          <w:bCs w:val="0"/>
          <w:color w:val="000000" w:themeColor="text1"/>
          <w:sz w:val="24"/>
          <w:szCs w:val="24"/>
          <w:lang w:val="en-US"/>
        </w:rPr>
        <w:t xml:space="preserve"> </w:t>
      </w:r>
      <w:r w:rsidR="00AA7123" w:rsidRPr="00ED3855">
        <w:rPr>
          <w:rFonts w:asciiTheme="majorBidi" w:eastAsia="Calibri" w:hAnsiTheme="majorBidi" w:cstheme="majorBidi"/>
          <w:b w:val="0"/>
          <w:bCs w:val="0"/>
          <w:color w:val="000000" w:themeColor="text1"/>
          <w:sz w:val="24"/>
          <w:szCs w:val="24"/>
          <w:lang w:val="en-US"/>
        </w:rPr>
        <w:t>disrupt the development of upstream petroleum</w:t>
      </w:r>
      <w:r w:rsidR="00CC7336">
        <w:rPr>
          <w:rFonts w:asciiTheme="majorBidi" w:eastAsia="Calibri" w:hAnsiTheme="majorBidi" w:cstheme="majorBidi"/>
          <w:b w:val="0"/>
          <w:bCs w:val="0"/>
          <w:color w:val="000000" w:themeColor="text1"/>
          <w:sz w:val="24"/>
          <w:szCs w:val="24"/>
          <w:lang w:val="en-US"/>
        </w:rPr>
        <w:t xml:space="preserve"> </w:t>
      </w:r>
      <w:r w:rsidR="00CC7336" w:rsidRPr="00ED3855">
        <w:rPr>
          <w:rFonts w:asciiTheme="majorBidi" w:eastAsia="Calibri" w:hAnsiTheme="majorBidi" w:cstheme="majorBidi"/>
          <w:b w:val="0"/>
          <w:bCs w:val="0"/>
          <w:color w:val="000000" w:themeColor="text1"/>
          <w:sz w:val="24"/>
          <w:szCs w:val="24"/>
          <w:lang w:val="en-US"/>
        </w:rPr>
        <w:t>and</w:t>
      </w:r>
      <w:r w:rsidR="00CC7336">
        <w:rPr>
          <w:rFonts w:asciiTheme="majorBidi" w:eastAsia="Calibri" w:hAnsiTheme="majorBidi" w:cstheme="majorBidi"/>
          <w:b w:val="0"/>
          <w:bCs w:val="0"/>
          <w:color w:val="000000" w:themeColor="text1"/>
          <w:sz w:val="24"/>
          <w:szCs w:val="24"/>
          <w:lang w:val="en-US"/>
        </w:rPr>
        <w:t xml:space="preserve"> unconstitutional</w:t>
      </w:r>
      <w:r w:rsidR="00AA7123" w:rsidRPr="00ED3855">
        <w:rPr>
          <w:rFonts w:asciiTheme="majorBidi" w:eastAsia="Calibri" w:hAnsiTheme="majorBidi" w:cstheme="majorBidi"/>
          <w:b w:val="0"/>
          <w:bCs w:val="0"/>
          <w:color w:val="000000" w:themeColor="text1"/>
          <w:sz w:val="24"/>
          <w:szCs w:val="24"/>
          <w:lang w:val="en-US"/>
        </w:rPr>
        <w:t xml:space="preserve">. </w:t>
      </w:r>
      <w:r w:rsidRPr="00ED3855">
        <w:rPr>
          <w:rFonts w:asciiTheme="majorBidi" w:eastAsia="Calibri" w:hAnsiTheme="majorBidi" w:cstheme="majorBidi"/>
          <w:b w:val="0"/>
          <w:bCs w:val="0"/>
          <w:color w:val="000000" w:themeColor="text1"/>
          <w:sz w:val="24"/>
          <w:szCs w:val="24"/>
          <w:lang w:val="en-US"/>
        </w:rPr>
        <w:t xml:space="preserve"> </w:t>
      </w:r>
    </w:p>
    <w:p w:rsidR="00A32D93" w:rsidRDefault="00A32D93" w:rsidP="00A32D93">
      <w:pPr>
        <w:pStyle w:val="Heading1"/>
        <w:spacing w:before="0" w:beforeAutospacing="0" w:after="0" w:afterAutospacing="0" w:line="276" w:lineRule="auto"/>
        <w:rPr>
          <w:rFonts w:asciiTheme="majorBidi" w:eastAsia="Calibri" w:hAnsiTheme="majorBidi" w:cstheme="majorBidi"/>
          <w:b w:val="0"/>
          <w:bCs w:val="0"/>
          <w:color w:val="000000" w:themeColor="text1"/>
          <w:sz w:val="24"/>
          <w:szCs w:val="24"/>
          <w:lang w:val="en-US"/>
        </w:rPr>
      </w:pPr>
      <w:r>
        <w:rPr>
          <w:rFonts w:asciiTheme="majorBidi" w:eastAsia="Calibri" w:hAnsiTheme="majorBidi" w:cstheme="majorBidi"/>
          <w:b w:val="0"/>
          <w:bCs w:val="0"/>
          <w:color w:val="000000" w:themeColor="text1"/>
          <w:sz w:val="24"/>
          <w:szCs w:val="24"/>
          <w:lang w:val="en-US"/>
        </w:rPr>
        <w:t>Norway.</w:t>
      </w:r>
    </w:p>
    <w:p w:rsidR="00A32D93" w:rsidRDefault="00A32D93" w:rsidP="00A32D93">
      <w:pPr>
        <w:pStyle w:val="Heading1"/>
        <w:spacing w:before="0" w:beforeAutospacing="0" w:after="0" w:afterAutospacing="0" w:line="276" w:lineRule="auto"/>
        <w:rPr>
          <w:rFonts w:asciiTheme="majorBidi" w:eastAsia="Calibri" w:hAnsiTheme="majorBidi" w:cstheme="majorBidi"/>
          <w:b w:val="0"/>
          <w:bCs w:val="0"/>
          <w:color w:val="000000" w:themeColor="text1"/>
          <w:sz w:val="24"/>
          <w:szCs w:val="24"/>
          <w:lang w:val="en-US"/>
        </w:rPr>
      </w:pPr>
    </w:p>
    <w:p w:rsidR="00A32D93" w:rsidRPr="00FD527E" w:rsidRDefault="00A32D93" w:rsidP="00DA0C53">
      <w:pPr>
        <w:pStyle w:val="Heading1"/>
        <w:spacing w:before="0" w:beforeAutospacing="0" w:line="276" w:lineRule="auto"/>
        <w:rPr>
          <w:rFonts w:asciiTheme="majorBidi" w:hAnsiTheme="majorBidi" w:cstheme="majorBidi"/>
          <w:lang w:val="en-US"/>
        </w:rPr>
      </w:pPr>
      <w:r>
        <w:rPr>
          <w:rFonts w:asciiTheme="majorBidi" w:eastAsia="Calibri" w:hAnsiTheme="majorBidi" w:cstheme="majorBidi"/>
          <w:b w:val="0"/>
          <w:bCs w:val="0"/>
          <w:color w:val="000000" w:themeColor="text1"/>
          <w:sz w:val="24"/>
          <w:szCs w:val="24"/>
          <w:lang w:val="en-US"/>
        </w:rPr>
        <w:t>6 Dec 2015</w:t>
      </w:r>
    </w:p>
    <w:p w:rsidR="00214227" w:rsidRPr="00FD527E" w:rsidRDefault="00214227" w:rsidP="00214227">
      <w:pPr>
        <w:rPr>
          <w:rFonts w:asciiTheme="majorBidi" w:hAnsiTheme="majorBidi" w:cstheme="majorBidi"/>
          <w:lang w:val="en-US"/>
        </w:rPr>
      </w:pPr>
    </w:p>
    <w:sectPr w:rsidR="00214227" w:rsidRPr="00FD52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5F" w:rsidRDefault="0061195F" w:rsidP="00AE0B09">
      <w:pPr>
        <w:spacing w:after="0" w:line="240" w:lineRule="auto"/>
      </w:pPr>
      <w:r>
        <w:separator/>
      </w:r>
    </w:p>
  </w:endnote>
  <w:endnote w:type="continuationSeparator" w:id="0">
    <w:p w:rsidR="0061195F" w:rsidRDefault="0061195F" w:rsidP="00AE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5F" w:rsidRDefault="0061195F" w:rsidP="00AE0B09">
      <w:pPr>
        <w:spacing w:after="0" w:line="240" w:lineRule="auto"/>
      </w:pPr>
      <w:r>
        <w:separator/>
      </w:r>
    </w:p>
  </w:footnote>
  <w:footnote w:type="continuationSeparator" w:id="0">
    <w:p w:rsidR="0061195F" w:rsidRDefault="0061195F" w:rsidP="00AE0B09">
      <w:pPr>
        <w:spacing w:after="0" w:line="240" w:lineRule="auto"/>
      </w:pPr>
      <w:r>
        <w:continuationSeparator/>
      </w:r>
    </w:p>
  </w:footnote>
  <w:footnote w:id="1">
    <w:p w:rsidR="00AE0B09" w:rsidRPr="00AE0B09" w:rsidRDefault="00AE0B09">
      <w:pPr>
        <w:pStyle w:val="FootnoteText"/>
        <w:rPr>
          <w:lang w:val="en-US"/>
        </w:rPr>
      </w:pPr>
      <w:r>
        <w:rPr>
          <w:rStyle w:val="FootnoteReference"/>
        </w:rPr>
        <w:footnoteRef/>
      </w:r>
      <w:r>
        <w:t xml:space="preserve"> </w:t>
      </w:r>
      <w:r w:rsidRPr="00AE0B09">
        <w:t xml:space="preserve">Interested readers can access, free-of-charge, my previous writings </w:t>
      </w:r>
      <w:r w:rsidR="0047432D">
        <w:t xml:space="preserve">on these issues </w:t>
      </w:r>
      <w:bookmarkStart w:id="0" w:name="_GoBack"/>
      <w:bookmarkEnd w:id="0"/>
      <w:r w:rsidRPr="00AE0B09">
        <w:t xml:space="preserve">posted on Iraq Business News-IBN website at:   </w:t>
      </w:r>
      <w:hyperlink r:id="rId1" w:history="1">
        <w:r w:rsidRPr="004934E3">
          <w:rPr>
            <w:rStyle w:val="Hyperlink"/>
          </w:rPr>
          <w:t>http://www.iraq-businessnews.com/category/oil-gas/ahmed-mousa-jiyad/</w:t>
        </w:r>
      </w:hyperlink>
      <w:r>
        <w:t xml:space="preserve"> </w:t>
      </w:r>
      <w:r w:rsidRPr="00AE0B0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D4A"/>
    <w:multiLevelType w:val="hybridMultilevel"/>
    <w:tmpl w:val="7030480C"/>
    <w:lvl w:ilvl="0" w:tplc="4C501322">
      <w:start w:val="1"/>
      <w:numFmt w:val="decimal"/>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
    <w:nsid w:val="15244613"/>
    <w:multiLevelType w:val="hybridMultilevel"/>
    <w:tmpl w:val="7030480C"/>
    <w:lvl w:ilvl="0" w:tplc="4C501322">
      <w:start w:val="1"/>
      <w:numFmt w:val="decimal"/>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nsid w:val="32605B50"/>
    <w:multiLevelType w:val="hybridMultilevel"/>
    <w:tmpl w:val="6CE4FBDC"/>
    <w:lvl w:ilvl="0" w:tplc="44E8D336">
      <w:start w:val="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E0F1FA8"/>
    <w:multiLevelType w:val="hybridMultilevel"/>
    <w:tmpl w:val="D5A010F2"/>
    <w:lvl w:ilvl="0" w:tplc="CC4C17A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0E920EF"/>
    <w:multiLevelType w:val="hybridMultilevel"/>
    <w:tmpl w:val="323CA60C"/>
    <w:lvl w:ilvl="0" w:tplc="2D28E6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697067D"/>
    <w:multiLevelType w:val="hybridMultilevel"/>
    <w:tmpl w:val="F934DB3A"/>
    <w:lvl w:ilvl="0" w:tplc="88162F2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722F4D3D"/>
    <w:multiLevelType w:val="hybridMultilevel"/>
    <w:tmpl w:val="7030480C"/>
    <w:lvl w:ilvl="0" w:tplc="4C501322">
      <w:start w:val="1"/>
      <w:numFmt w:val="decimal"/>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3E"/>
    <w:rsid w:val="00024E2A"/>
    <w:rsid w:val="00046E6C"/>
    <w:rsid w:val="00072722"/>
    <w:rsid w:val="000A0DFB"/>
    <w:rsid w:val="000C4231"/>
    <w:rsid w:val="00112CC3"/>
    <w:rsid w:val="00125499"/>
    <w:rsid w:val="00183A34"/>
    <w:rsid w:val="00186297"/>
    <w:rsid w:val="001950F0"/>
    <w:rsid w:val="001B0A60"/>
    <w:rsid w:val="001B1017"/>
    <w:rsid w:val="001C4DA4"/>
    <w:rsid w:val="001D26AA"/>
    <w:rsid w:val="001F5AE3"/>
    <w:rsid w:val="00214227"/>
    <w:rsid w:val="00227287"/>
    <w:rsid w:val="0024603E"/>
    <w:rsid w:val="002B038B"/>
    <w:rsid w:val="00304B99"/>
    <w:rsid w:val="00330FE4"/>
    <w:rsid w:val="00352D08"/>
    <w:rsid w:val="003A31AB"/>
    <w:rsid w:val="00445146"/>
    <w:rsid w:val="0047432D"/>
    <w:rsid w:val="004875A9"/>
    <w:rsid w:val="00495EFD"/>
    <w:rsid w:val="004C7C70"/>
    <w:rsid w:val="004D37F1"/>
    <w:rsid w:val="004E2D09"/>
    <w:rsid w:val="00542C13"/>
    <w:rsid w:val="0056314D"/>
    <w:rsid w:val="005A1311"/>
    <w:rsid w:val="005B0C43"/>
    <w:rsid w:val="005E1A15"/>
    <w:rsid w:val="0061195F"/>
    <w:rsid w:val="00616EEC"/>
    <w:rsid w:val="00661016"/>
    <w:rsid w:val="00665A4E"/>
    <w:rsid w:val="0068082A"/>
    <w:rsid w:val="00682D1F"/>
    <w:rsid w:val="0068778C"/>
    <w:rsid w:val="006903BC"/>
    <w:rsid w:val="006A2918"/>
    <w:rsid w:val="00704341"/>
    <w:rsid w:val="00735C1A"/>
    <w:rsid w:val="0075617A"/>
    <w:rsid w:val="00764556"/>
    <w:rsid w:val="007804F5"/>
    <w:rsid w:val="007D5854"/>
    <w:rsid w:val="007F7772"/>
    <w:rsid w:val="00813D59"/>
    <w:rsid w:val="00832299"/>
    <w:rsid w:val="00872BB6"/>
    <w:rsid w:val="00882B14"/>
    <w:rsid w:val="008B2375"/>
    <w:rsid w:val="008C4ACA"/>
    <w:rsid w:val="008D3686"/>
    <w:rsid w:val="008D4A5D"/>
    <w:rsid w:val="008D5CE7"/>
    <w:rsid w:val="009038D5"/>
    <w:rsid w:val="009711A0"/>
    <w:rsid w:val="00975E8C"/>
    <w:rsid w:val="009C2528"/>
    <w:rsid w:val="00A32D93"/>
    <w:rsid w:val="00A47051"/>
    <w:rsid w:val="00A60A26"/>
    <w:rsid w:val="00A8080A"/>
    <w:rsid w:val="00A919A2"/>
    <w:rsid w:val="00AA7123"/>
    <w:rsid w:val="00AC0645"/>
    <w:rsid w:val="00AC07D3"/>
    <w:rsid w:val="00AE0B09"/>
    <w:rsid w:val="00B00749"/>
    <w:rsid w:val="00B05733"/>
    <w:rsid w:val="00B0614C"/>
    <w:rsid w:val="00BB6243"/>
    <w:rsid w:val="00BF7114"/>
    <w:rsid w:val="00C05E7A"/>
    <w:rsid w:val="00C1323B"/>
    <w:rsid w:val="00C53F3C"/>
    <w:rsid w:val="00CA3BC3"/>
    <w:rsid w:val="00CC7336"/>
    <w:rsid w:val="00D002A4"/>
    <w:rsid w:val="00D24175"/>
    <w:rsid w:val="00D409AE"/>
    <w:rsid w:val="00D509AE"/>
    <w:rsid w:val="00D66BAA"/>
    <w:rsid w:val="00DA0C53"/>
    <w:rsid w:val="00DB5AB8"/>
    <w:rsid w:val="00DD402E"/>
    <w:rsid w:val="00E52DEF"/>
    <w:rsid w:val="00E67332"/>
    <w:rsid w:val="00E8308B"/>
    <w:rsid w:val="00E926F2"/>
    <w:rsid w:val="00EC4FA4"/>
    <w:rsid w:val="00ED3855"/>
    <w:rsid w:val="00F170FA"/>
    <w:rsid w:val="00F31675"/>
    <w:rsid w:val="00F66E15"/>
    <w:rsid w:val="00F70ED7"/>
    <w:rsid w:val="00F74F0B"/>
    <w:rsid w:val="00FD527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F7114"/>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22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ListParagraph">
    <w:name w:val="List Paragraph"/>
    <w:basedOn w:val="Normal"/>
    <w:uiPriority w:val="34"/>
    <w:qFormat/>
    <w:rsid w:val="00304B99"/>
    <w:pPr>
      <w:ind w:left="720"/>
      <w:contextualSpacing/>
    </w:pPr>
  </w:style>
  <w:style w:type="character" w:customStyle="1" w:styleId="Heading1Char">
    <w:name w:val="Heading 1 Char"/>
    <w:basedOn w:val="DefaultParagraphFont"/>
    <w:link w:val="Heading1"/>
    <w:uiPriority w:val="9"/>
    <w:rsid w:val="00BF7114"/>
    <w:rPr>
      <w:rFonts w:ascii="Times New Roman" w:eastAsia="Times New Roman" w:hAnsi="Times New Roman" w:cs="Times New Roman"/>
      <w:b/>
      <w:bCs/>
      <w:kern w:val="36"/>
      <w:sz w:val="48"/>
      <w:szCs w:val="48"/>
      <w:lang w:eastAsia="nb-NO"/>
    </w:rPr>
  </w:style>
  <w:style w:type="paragraph" w:styleId="BalloonText">
    <w:name w:val="Balloon Text"/>
    <w:basedOn w:val="Normal"/>
    <w:link w:val="BalloonTextChar"/>
    <w:uiPriority w:val="99"/>
    <w:semiHidden/>
    <w:unhideWhenUsed/>
    <w:rsid w:val="00680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82A"/>
    <w:rPr>
      <w:rFonts w:ascii="Tahoma" w:hAnsi="Tahoma" w:cs="Tahoma"/>
      <w:sz w:val="16"/>
      <w:szCs w:val="16"/>
      <w:lang w:val="en-GB"/>
    </w:rPr>
  </w:style>
  <w:style w:type="character" w:styleId="Hyperlink">
    <w:name w:val="Hyperlink"/>
    <w:basedOn w:val="DefaultParagraphFont"/>
    <w:uiPriority w:val="99"/>
    <w:unhideWhenUsed/>
    <w:rsid w:val="0075617A"/>
    <w:rPr>
      <w:color w:val="0000FF" w:themeColor="hyperlink"/>
      <w:u w:val="single"/>
    </w:rPr>
  </w:style>
  <w:style w:type="paragraph" w:styleId="FootnoteText">
    <w:name w:val="footnote text"/>
    <w:basedOn w:val="Normal"/>
    <w:link w:val="FootnoteTextChar"/>
    <w:uiPriority w:val="99"/>
    <w:semiHidden/>
    <w:unhideWhenUsed/>
    <w:rsid w:val="00AE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B09"/>
    <w:rPr>
      <w:sz w:val="20"/>
      <w:szCs w:val="20"/>
      <w:lang w:val="en-GB"/>
    </w:rPr>
  </w:style>
  <w:style w:type="character" w:styleId="FootnoteReference">
    <w:name w:val="footnote reference"/>
    <w:basedOn w:val="DefaultParagraphFont"/>
    <w:uiPriority w:val="99"/>
    <w:semiHidden/>
    <w:unhideWhenUsed/>
    <w:rsid w:val="00AE0B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F7114"/>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22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ListParagraph">
    <w:name w:val="List Paragraph"/>
    <w:basedOn w:val="Normal"/>
    <w:uiPriority w:val="34"/>
    <w:qFormat/>
    <w:rsid w:val="00304B99"/>
    <w:pPr>
      <w:ind w:left="720"/>
      <w:contextualSpacing/>
    </w:pPr>
  </w:style>
  <w:style w:type="character" w:customStyle="1" w:styleId="Heading1Char">
    <w:name w:val="Heading 1 Char"/>
    <w:basedOn w:val="DefaultParagraphFont"/>
    <w:link w:val="Heading1"/>
    <w:uiPriority w:val="9"/>
    <w:rsid w:val="00BF7114"/>
    <w:rPr>
      <w:rFonts w:ascii="Times New Roman" w:eastAsia="Times New Roman" w:hAnsi="Times New Roman" w:cs="Times New Roman"/>
      <w:b/>
      <w:bCs/>
      <w:kern w:val="36"/>
      <w:sz w:val="48"/>
      <w:szCs w:val="48"/>
      <w:lang w:eastAsia="nb-NO"/>
    </w:rPr>
  </w:style>
  <w:style w:type="paragraph" w:styleId="BalloonText">
    <w:name w:val="Balloon Text"/>
    <w:basedOn w:val="Normal"/>
    <w:link w:val="BalloonTextChar"/>
    <w:uiPriority w:val="99"/>
    <w:semiHidden/>
    <w:unhideWhenUsed/>
    <w:rsid w:val="00680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82A"/>
    <w:rPr>
      <w:rFonts w:ascii="Tahoma" w:hAnsi="Tahoma" w:cs="Tahoma"/>
      <w:sz w:val="16"/>
      <w:szCs w:val="16"/>
      <w:lang w:val="en-GB"/>
    </w:rPr>
  </w:style>
  <w:style w:type="character" w:styleId="Hyperlink">
    <w:name w:val="Hyperlink"/>
    <w:basedOn w:val="DefaultParagraphFont"/>
    <w:uiPriority w:val="99"/>
    <w:unhideWhenUsed/>
    <w:rsid w:val="0075617A"/>
    <w:rPr>
      <w:color w:val="0000FF" w:themeColor="hyperlink"/>
      <w:u w:val="single"/>
    </w:rPr>
  </w:style>
  <w:style w:type="paragraph" w:styleId="FootnoteText">
    <w:name w:val="footnote text"/>
    <w:basedOn w:val="Normal"/>
    <w:link w:val="FootnoteTextChar"/>
    <w:uiPriority w:val="99"/>
    <w:semiHidden/>
    <w:unhideWhenUsed/>
    <w:rsid w:val="00AE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B09"/>
    <w:rPr>
      <w:sz w:val="20"/>
      <w:szCs w:val="20"/>
      <w:lang w:val="en-GB"/>
    </w:rPr>
  </w:style>
  <w:style w:type="character" w:styleId="FootnoteReference">
    <w:name w:val="footnote reference"/>
    <w:basedOn w:val="DefaultParagraphFont"/>
    <w:uiPriority w:val="99"/>
    <w:semiHidden/>
    <w:unhideWhenUsed/>
    <w:rsid w:val="00A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633845">
      <w:bodyDiv w:val="1"/>
      <w:marLeft w:val="0"/>
      <w:marRight w:val="0"/>
      <w:marTop w:val="0"/>
      <w:marBottom w:val="0"/>
      <w:divBdr>
        <w:top w:val="none" w:sz="0" w:space="0" w:color="auto"/>
        <w:left w:val="none" w:sz="0" w:space="0" w:color="auto"/>
        <w:bottom w:val="none" w:sz="0" w:space="0" w:color="auto"/>
        <w:right w:val="none" w:sz="0" w:space="0" w:color="auto"/>
      </w:divBdr>
      <w:divsChild>
        <w:div w:id="1339772105">
          <w:marLeft w:val="0"/>
          <w:marRight w:val="0"/>
          <w:marTop w:val="0"/>
          <w:marBottom w:val="0"/>
          <w:divBdr>
            <w:top w:val="none" w:sz="0" w:space="0" w:color="auto"/>
            <w:left w:val="none" w:sz="0" w:space="0" w:color="auto"/>
            <w:bottom w:val="none" w:sz="0" w:space="0" w:color="auto"/>
            <w:right w:val="none" w:sz="0" w:space="0" w:color="auto"/>
          </w:divBdr>
          <w:divsChild>
            <w:div w:id="1441409679">
              <w:marLeft w:val="0"/>
              <w:marRight w:val="0"/>
              <w:marTop w:val="0"/>
              <w:marBottom w:val="0"/>
              <w:divBdr>
                <w:top w:val="none" w:sz="0" w:space="0" w:color="auto"/>
                <w:left w:val="none" w:sz="0" w:space="0" w:color="auto"/>
                <w:bottom w:val="none" w:sz="0" w:space="0" w:color="auto"/>
                <w:right w:val="none" w:sz="0" w:space="0" w:color="auto"/>
              </w:divBdr>
              <w:divsChild>
                <w:div w:id="1215002584">
                  <w:marLeft w:val="0"/>
                  <w:marRight w:val="0"/>
                  <w:marTop w:val="0"/>
                  <w:marBottom w:val="0"/>
                  <w:divBdr>
                    <w:top w:val="none" w:sz="0" w:space="0" w:color="auto"/>
                    <w:left w:val="none" w:sz="0" w:space="0" w:color="auto"/>
                    <w:bottom w:val="none" w:sz="0" w:space="0" w:color="auto"/>
                    <w:right w:val="none" w:sz="0" w:space="0" w:color="auto"/>
                  </w:divBdr>
                  <w:divsChild>
                    <w:div w:id="8763524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6925919">
                          <w:marLeft w:val="0"/>
                          <w:marRight w:val="0"/>
                          <w:marTop w:val="0"/>
                          <w:marBottom w:val="0"/>
                          <w:divBdr>
                            <w:top w:val="none" w:sz="0" w:space="0" w:color="auto"/>
                            <w:left w:val="none" w:sz="0" w:space="0" w:color="auto"/>
                            <w:bottom w:val="none" w:sz="0" w:space="0" w:color="auto"/>
                            <w:right w:val="none" w:sz="0" w:space="0" w:color="auto"/>
                          </w:divBdr>
                          <w:divsChild>
                            <w:div w:id="334497940">
                              <w:marLeft w:val="0"/>
                              <w:marRight w:val="0"/>
                              <w:marTop w:val="0"/>
                              <w:marBottom w:val="0"/>
                              <w:divBdr>
                                <w:top w:val="none" w:sz="0" w:space="0" w:color="auto"/>
                                <w:left w:val="none" w:sz="0" w:space="0" w:color="auto"/>
                                <w:bottom w:val="none" w:sz="0" w:space="0" w:color="auto"/>
                                <w:right w:val="none" w:sz="0" w:space="0" w:color="auto"/>
                              </w:divBdr>
                              <w:divsChild>
                                <w:div w:id="4714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9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Mou-jiya@online.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raq-businessnews.com/category/oil-gas/ahmed-mousa-jiya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hmed%20Mousa%20Jiyad\Documents\My%20Documents\Iraq-files\Oil%20Prod&amp;MatersInfofiles\Oil%20data-Production%20Export\Oil%20Production%20and%20Cost%20Recover%20and%20Remuneration%20Fees%202012-202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hmed%20Mousa%20Jiyad\Documents\My%20Documents\Iraq-files\Oil%20Prod&amp;MatersInfofiles\Oil%20data-Production%20Export\Oil%20Production%20and%20Cost%20Recover%20and%20Remuneration%20Fees%202012-20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98840769903763"/>
          <c:y val="2.825254250066464E-2"/>
          <c:w val="0.8605529308836396"/>
          <c:h val="0.72763267363007855"/>
        </c:manualLayout>
      </c:layout>
      <c:lineChart>
        <c:grouping val="standard"/>
        <c:varyColors val="0"/>
        <c:ser>
          <c:idx val="0"/>
          <c:order val="0"/>
          <c:tx>
            <c:strRef>
              <c:f>Sheet1!$Y$91</c:f>
              <c:strCache>
                <c:ptCount val="1"/>
                <c:pt idx="0">
                  <c:v>KRG PSC</c:v>
                </c:pt>
              </c:strCache>
            </c:strRef>
          </c:tx>
          <c:spPr>
            <a:ln w="38100">
              <a:solidFill>
                <a:srgbClr val="0000CC"/>
              </a:solidFill>
            </a:ln>
          </c:spPr>
          <c:marker>
            <c:symbol val="none"/>
          </c:marker>
          <c:cat>
            <c:numRef>
              <c:f>Sheet1!$X$92:$X$102</c:f>
              <c:numCache>
                <c:formatCode>General</c:formatCode>
                <c:ptCount val="11"/>
                <c:pt idx="0">
                  <c:v>20</c:v>
                </c:pt>
                <c:pt idx="1">
                  <c:v>30</c:v>
                </c:pt>
                <c:pt idx="2">
                  <c:v>40</c:v>
                </c:pt>
                <c:pt idx="3">
                  <c:v>50</c:v>
                </c:pt>
                <c:pt idx="4">
                  <c:v>60</c:v>
                </c:pt>
                <c:pt idx="5">
                  <c:v>70</c:v>
                </c:pt>
                <c:pt idx="6">
                  <c:v>80</c:v>
                </c:pt>
                <c:pt idx="7">
                  <c:v>90</c:v>
                </c:pt>
                <c:pt idx="8">
                  <c:v>100</c:v>
                </c:pt>
                <c:pt idx="9">
                  <c:v>110</c:v>
                </c:pt>
                <c:pt idx="10">
                  <c:v>120</c:v>
                </c:pt>
              </c:numCache>
            </c:numRef>
          </c:cat>
          <c:val>
            <c:numRef>
              <c:f>Sheet1!$Y$92:$Y$102</c:f>
              <c:numCache>
                <c:formatCode>General</c:formatCode>
                <c:ptCount val="11"/>
                <c:pt idx="0">
                  <c:v>2.2031999999999998</c:v>
                </c:pt>
                <c:pt idx="1">
                  <c:v>3.3047999999999997</c:v>
                </c:pt>
                <c:pt idx="2">
                  <c:v>4.4063999999999997</c:v>
                </c:pt>
                <c:pt idx="3">
                  <c:v>5.508</c:v>
                </c:pt>
                <c:pt idx="4">
                  <c:v>6.6095999999999995</c:v>
                </c:pt>
                <c:pt idx="5">
                  <c:v>7.7111999999999998</c:v>
                </c:pt>
                <c:pt idx="6">
                  <c:v>8.8127999999999993</c:v>
                </c:pt>
                <c:pt idx="7">
                  <c:v>9.9143999999999988</c:v>
                </c:pt>
                <c:pt idx="8">
                  <c:v>11.016</c:v>
                </c:pt>
                <c:pt idx="9">
                  <c:v>12.117599999999999</c:v>
                </c:pt>
                <c:pt idx="10">
                  <c:v>13.219199999999999</c:v>
                </c:pt>
              </c:numCache>
            </c:numRef>
          </c:val>
          <c:smooth val="0"/>
        </c:ser>
        <c:ser>
          <c:idx val="1"/>
          <c:order val="1"/>
          <c:tx>
            <c:strRef>
              <c:f>Sheet1!$Z$91</c:f>
              <c:strCache>
                <c:ptCount val="1"/>
                <c:pt idx="0">
                  <c:v>MoOSC</c:v>
                </c:pt>
              </c:strCache>
            </c:strRef>
          </c:tx>
          <c:spPr>
            <a:ln w="38100">
              <a:solidFill>
                <a:srgbClr val="FF0000"/>
              </a:solidFill>
            </a:ln>
          </c:spPr>
          <c:marker>
            <c:symbol val="none"/>
          </c:marker>
          <c:cat>
            <c:numRef>
              <c:f>Sheet1!$X$92:$X$102</c:f>
              <c:numCache>
                <c:formatCode>General</c:formatCode>
                <c:ptCount val="11"/>
                <c:pt idx="0">
                  <c:v>20</c:v>
                </c:pt>
                <c:pt idx="1">
                  <c:v>30</c:v>
                </c:pt>
                <c:pt idx="2">
                  <c:v>40</c:v>
                </c:pt>
                <c:pt idx="3">
                  <c:v>50</c:v>
                </c:pt>
                <c:pt idx="4">
                  <c:v>60</c:v>
                </c:pt>
                <c:pt idx="5">
                  <c:v>70</c:v>
                </c:pt>
                <c:pt idx="6">
                  <c:v>80</c:v>
                </c:pt>
                <c:pt idx="7">
                  <c:v>90</c:v>
                </c:pt>
                <c:pt idx="8">
                  <c:v>100</c:v>
                </c:pt>
                <c:pt idx="9">
                  <c:v>110</c:v>
                </c:pt>
                <c:pt idx="10">
                  <c:v>120</c:v>
                </c:pt>
              </c:numCache>
            </c:numRef>
          </c:cat>
          <c:val>
            <c:numRef>
              <c:f>Sheet1!$Z$92:$Z$102</c:f>
              <c:numCache>
                <c:formatCode>General</c:formatCode>
                <c:ptCount val="11"/>
                <c:pt idx="0">
                  <c:v>1</c:v>
                </c:pt>
                <c:pt idx="1">
                  <c:v>1</c:v>
                </c:pt>
                <c:pt idx="2">
                  <c:v>1</c:v>
                </c:pt>
                <c:pt idx="3">
                  <c:v>1</c:v>
                </c:pt>
                <c:pt idx="4">
                  <c:v>1</c:v>
                </c:pt>
                <c:pt idx="5">
                  <c:v>1</c:v>
                </c:pt>
                <c:pt idx="6">
                  <c:v>1</c:v>
                </c:pt>
                <c:pt idx="7">
                  <c:v>1</c:v>
                </c:pt>
                <c:pt idx="8">
                  <c:v>1</c:v>
                </c:pt>
                <c:pt idx="9">
                  <c:v>1</c:v>
                </c:pt>
                <c:pt idx="10">
                  <c:v>1</c:v>
                </c:pt>
              </c:numCache>
            </c:numRef>
          </c:val>
          <c:smooth val="0"/>
        </c:ser>
        <c:dLbls>
          <c:showLegendKey val="0"/>
          <c:showVal val="0"/>
          <c:showCatName val="0"/>
          <c:showSerName val="0"/>
          <c:showPercent val="0"/>
          <c:showBubbleSize val="0"/>
        </c:dLbls>
        <c:marker val="1"/>
        <c:smooth val="0"/>
        <c:axId val="100468992"/>
        <c:axId val="100510336"/>
      </c:lineChart>
      <c:catAx>
        <c:axId val="100468992"/>
        <c:scaling>
          <c:orientation val="minMax"/>
        </c:scaling>
        <c:delete val="0"/>
        <c:axPos val="b"/>
        <c:numFmt formatCode="General" sourceLinked="1"/>
        <c:majorTickMark val="out"/>
        <c:minorTickMark val="none"/>
        <c:tickLblPos val="nextTo"/>
        <c:txPr>
          <a:bodyPr/>
          <a:lstStyle/>
          <a:p>
            <a:pPr>
              <a:defRPr sz="1100" b="1">
                <a:solidFill>
                  <a:srgbClr val="FFFF00"/>
                </a:solidFill>
              </a:defRPr>
            </a:pPr>
            <a:endParaRPr lang="nb-NO"/>
          </a:p>
        </c:txPr>
        <c:crossAx val="100510336"/>
        <c:crosses val="autoZero"/>
        <c:auto val="1"/>
        <c:lblAlgn val="ctr"/>
        <c:lblOffset val="100"/>
        <c:noMultiLvlLbl val="0"/>
      </c:catAx>
      <c:valAx>
        <c:axId val="100510336"/>
        <c:scaling>
          <c:orientation val="minMax"/>
        </c:scaling>
        <c:delete val="0"/>
        <c:axPos val="l"/>
        <c:majorGridlines/>
        <c:numFmt formatCode="General" sourceLinked="1"/>
        <c:majorTickMark val="out"/>
        <c:minorTickMark val="none"/>
        <c:tickLblPos val="nextTo"/>
        <c:txPr>
          <a:bodyPr/>
          <a:lstStyle/>
          <a:p>
            <a:pPr>
              <a:defRPr sz="1100" b="1">
                <a:solidFill>
                  <a:srgbClr val="FFFF00"/>
                </a:solidFill>
              </a:defRPr>
            </a:pPr>
            <a:endParaRPr lang="nb-NO"/>
          </a:p>
        </c:txPr>
        <c:crossAx val="100468992"/>
        <c:crosses val="autoZero"/>
        <c:crossBetween val="between"/>
      </c:valAx>
      <c:spPr>
        <a:solidFill>
          <a:srgbClr val="FFFF00"/>
        </a:solidFill>
      </c:spPr>
    </c:plotArea>
    <c:legend>
      <c:legendPos val="r"/>
      <c:layout>
        <c:manualLayout>
          <c:xMode val="edge"/>
          <c:yMode val="edge"/>
          <c:x val="0.2880968941382327"/>
          <c:y val="2.2742303057878686E-2"/>
          <c:w val="0.41190310586176726"/>
          <c:h val="0.15187746264451812"/>
        </c:manualLayout>
      </c:layout>
      <c:overlay val="0"/>
      <c:txPr>
        <a:bodyPr/>
        <a:lstStyle/>
        <a:p>
          <a:pPr>
            <a:defRPr sz="1100" b="1"/>
          </a:pPr>
          <a:endParaRPr lang="nb-NO"/>
        </a:p>
      </c:txPr>
    </c:legend>
    <c:plotVisOnly val="1"/>
    <c:dispBlanksAs val="gap"/>
    <c:showDLblsOverMax val="0"/>
  </c:chart>
  <c:spPr>
    <a:solidFill>
      <a:srgbClr val="0000CC"/>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09951881014873"/>
          <c:y val="5.1400554097404488E-2"/>
          <c:w val="0.86102799650043749"/>
          <c:h val="0.73539734616506269"/>
        </c:manualLayout>
      </c:layout>
      <c:lineChart>
        <c:grouping val="standard"/>
        <c:varyColors val="0"/>
        <c:ser>
          <c:idx val="0"/>
          <c:order val="0"/>
          <c:tx>
            <c:strRef>
              <c:f>Sheet1!$AB$91</c:f>
              <c:strCache>
                <c:ptCount val="1"/>
                <c:pt idx="0">
                  <c:v>KRG PSC</c:v>
                </c:pt>
              </c:strCache>
            </c:strRef>
          </c:tx>
          <c:spPr>
            <a:ln w="38100">
              <a:solidFill>
                <a:srgbClr val="0000CC"/>
              </a:solidFill>
            </a:ln>
          </c:spPr>
          <c:marker>
            <c:symbol val="none"/>
          </c:marker>
          <c:cat>
            <c:numRef>
              <c:f>Sheet1!$AA$92:$AA$102</c:f>
              <c:numCache>
                <c:formatCode>General</c:formatCode>
                <c:ptCount val="11"/>
                <c:pt idx="0">
                  <c:v>20</c:v>
                </c:pt>
                <c:pt idx="1">
                  <c:v>30</c:v>
                </c:pt>
                <c:pt idx="2">
                  <c:v>40</c:v>
                </c:pt>
                <c:pt idx="3">
                  <c:v>50</c:v>
                </c:pt>
                <c:pt idx="4">
                  <c:v>60</c:v>
                </c:pt>
                <c:pt idx="5">
                  <c:v>70</c:v>
                </c:pt>
                <c:pt idx="6">
                  <c:v>80</c:v>
                </c:pt>
                <c:pt idx="7">
                  <c:v>90</c:v>
                </c:pt>
                <c:pt idx="8">
                  <c:v>100</c:v>
                </c:pt>
                <c:pt idx="9">
                  <c:v>110</c:v>
                </c:pt>
                <c:pt idx="10">
                  <c:v>120</c:v>
                </c:pt>
              </c:numCache>
            </c:numRef>
          </c:cat>
          <c:val>
            <c:numRef>
              <c:f>Sheet1!$AB$92:$AB$102</c:f>
              <c:numCache>
                <c:formatCode>General</c:formatCode>
                <c:ptCount val="11"/>
                <c:pt idx="0">
                  <c:v>11.016</c:v>
                </c:pt>
                <c:pt idx="1">
                  <c:v>11.016</c:v>
                </c:pt>
                <c:pt idx="2">
                  <c:v>11.016</c:v>
                </c:pt>
                <c:pt idx="3">
                  <c:v>11.016</c:v>
                </c:pt>
                <c:pt idx="4">
                  <c:v>11.016</c:v>
                </c:pt>
                <c:pt idx="5">
                  <c:v>11.016</c:v>
                </c:pt>
                <c:pt idx="6">
                  <c:v>11.016</c:v>
                </c:pt>
                <c:pt idx="7">
                  <c:v>11.015999999999998</c:v>
                </c:pt>
                <c:pt idx="8">
                  <c:v>11.016</c:v>
                </c:pt>
                <c:pt idx="9">
                  <c:v>11.016</c:v>
                </c:pt>
                <c:pt idx="10">
                  <c:v>11.016</c:v>
                </c:pt>
              </c:numCache>
            </c:numRef>
          </c:val>
          <c:smooth val="0"/>
        </c:ser>
        <c:ser>
          <c:idx val="1"/>
          <c:order val="1"/>
          <c:tx>
            <c:strRef>
              <c:f>Sheet1!$AC$91</c:f>
              <c:strCache>
                <c:ptCount val="1"/>
                <c:pt idx="0">
                  <c:v>MoOSC</c:v>
                </c:pt>
              </c:strCache>
            </c:strRef>
          </c:tx>
          <c:spPr>
            <a:ln w="38100">
              <a:solidFill>
                <a:srgbClr val="FF0000"/>
              </a:solidFill>
            </a:ln>
          </c:spPr>
          <c:marker>
            <c:symbol val="none"/>
          </c:marker>
          <c:cat>
            <c:numRef>
              <c:f>Sheet1!$AA$92:$AA$102</c:f>
              <c:numCache>
                <c:formatCode>General</c:formatCode>
                <c:ptCount val="11"/>
                <c:pt idx="0">
                  <c:v>20</c:v>
                </c:pt>
                <c:pt idx="1">
                  <c:v>30</c:v>
                </c:pt>
                <c:pt idx="2">
                  <c:v>40</c:v>
                </c:pt>
                <c:pt idx="3">
                  <c:v>50</c:v>
                </c:pt>
                <c:pt idx="4">
                  <c:v>60</c:v>
                </c:pt>
                <c:pt idx="5">
                  <c:v>70</c:v>
                </c:pt>
                <c:pt idx="6">
                  <c:v>80</c:v>
                </c:pt>
                <c:pt idx="7">
                  <c:v>90</c:v>
                </c:pt>
                <c:pt idx="8">
                  <c:v>100</c:v>
                </c:pt>
                <c:pt idx="9">
                  <c:v>110</c:v>
                </c:pt>
                <c:pt idx="10">
                  <c:v>120</c:v>
                </c:pt>
              </c:numCache>
            </c:numRef>
          </c:cat>
          <c:val>
            <c:numRef>
              <c:f>Sheet1!$AC$92:$AC$102</c:f>
              <c:numCache>
                <c:formatCode>General</c:formatCode>
                <c:ptCount val="11"/>
                <c:pt idx="0">
                  <c:v>5</c:v>
                </c:pt>
                <c:pt idx="1">
                  <c:v>3.3333333333333335</c:v>
                </c:pt>
                <c:pt idx="2">
                  <c:v>2.5</c:v>
                </c:pt>
                <c:pt idx="3">
                  <c:v>2</c:v>
                </c:pt>
                <c:pt idx="4">
                  <c:v>1.6666666666666667</c:v>
                </c:pt>
                <c:pt idx="5">
                  <c:v>1.4285714285714286</c:v>
                </c:pt>
                <c:pt idx="6">
                  <c:v>1.25</c:v>
                </c:pt>
                <c:pt idx="7">
                  <c:v>1.1111111111111112</c:v>
                </c:pt>
                <c:pt idx="8">
                  <c:v>1</c:v>
                </c:pt>
                <c:pt idx="9">
                  <c:v>0.90909090909090906</c:v>
                </c:pt>
                <c:pt idx="10">
                  <c:v>0.83333333333333337</c:v>
                </c:pt>
              </c:numCache>
            </c:numRef>
          </c:val>
          <c:smooth val="0"/>
        </c:ser>
        <c:dLbls>
          <c:showLegendKey val="0"/>
          <c:showVal val="0"/>
          <c:showCatName val="0"/>
          <c:showSerName val="0"/>
          <c:showPercent val="0"/>
          <c:showBubbleSize val="0"/>
        </c:dLbls>
        <c:marker val="1"/>
        <c:smooth val="0"/>
        <c:axId val="120406400"/>
        <c:axId val="122865920"/>
      </c:lineChart>
      <c:catAx>
        <c:axId val="120406400"/>
        <c:scaling>
          <c:orientation val="minMax"/>
        </c:scaling>
        <c:delete val="0"/>
        <c:axPos val="b"/>
        <c:numFmt formatCode="General" sourceLinked="1"/>
        <c:majorTickMark val="out"/>
        <c:minorTickMark val="none"/>
        <c:tickLblPos val="nextTo"/>
        <c:txPr>
          <a:bodyPr/>
          <a:lstStyle/>
          <a:p>
            <a:pPr>
              <a:defRPr sz="1100" b="1">
                <a:solidFill>
                  <a:srgbClr val="FFFF00"/>
                </a:solidFill>
              </a:defRPr>
            </a:pPr>
            <a:endParaRPr lang="nb-NO"/>
          </a:p>
        </c:txPr>
        <c:crossAx val="122865920"/>
        <c:crosses val="autoZero"/>
        <c:auto val="1"/>
        <c:lblAlgn val="ctr"/>
        <c:lblOffset val="100"/>
        <c:noMultiLvlLbl val="0"/>
      </c:catAx>
      <c:valAx>
        <c:axId val="122865920"/>
        <c:scaling>
          <c:orientation val="minMax"/>
        </c:scaling>
        <c:delete val="0"/>
        <c:axPos val="l"/>
        <c:majorGridlines/>
        <c:numFmt formatCode="General" sourceLinked="1"/>
        <c:majorTickMark val="out"/>
        <c:minorTickMark val="none"/>
        <c:tickLblPos val="nextTo"/>
        <c:txPr>
          <a:bodyPr/>
          <a:lstStyle/>
          <a:p>
            <a:pPr>
              <a:defRPr sz="1100" b="1">
                <a:solidFill>
                  <a:srgbClr val="FFFF00"/>
                </a:solidFill>
              </a:defRPr>
            </a:pPr>
            <a:endParaRPr lang="nb-NO"/>
          </a:p>
        </c:txPr>
        <c:crossAx val="120406400"/>
        <c:crosses val="autoZero"/>
        <c:crossBetween val="between"/>
      </c:valAx>
      <c:spPr>
        <a:solidFill>
          <a:srgbClr val="FFFF00"/>
        </a:solidFill>
      </c:spPr>
    </c:plotArea>
    <c:legend>
      <c:legendPos val="r"/>
      <c:layout>
        <c:manualLayout>
          <c:xMode val="edge"/>
          <c:yMode val="edge"/>
          <c:x val="0.55198578302712165"/>
          <c:y val="0.28724028982518579"/>
          <c:w val="0.37579199475065617"/>
          <c:h val="0.16743438320209975"/>
        </c:manualLayout>
      </c:layout>
      <c:overlay val="0"/>
      <c:txPr>
        <a:bodyPr/>
        <a:lstStyle/>
        <a:p>
          <a:pPr>
            <a:defRPr sz="1100" b="1"/>
          </a:pPr>
          <a:endParaRPr lang="nb-NO"/>
        </a:p>
      </c:txPr>
    </c:legend>
    <c:plotVisOnly val="1"/>
    <c:dispBlanksAs val="gap"/>
    <c:showDLblsOverMax val="0"/>
  </c:chart>
  <c:spPr>
    <a:solidFill>
      <a:srgbClr val="0000CC"/>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0.37708</cdr:x>
      <cdr:y>0.86772</cdr:y>
    </cdr:from>
    <cdr:to>
      <cdr:x>0.67708</cdr:x>
      <cdr:y>0.97795</cdr:y>
    </cdr:to>
    <cdr:sp macro="" textlink="">
      <cdr:nvSpPr>
        <cdr:cNvPr id="2" name="TextBox 1"/>
        <cdr:cNvSpPr txBox="1"/>
      </cdr:nvSpPr>
      <cdr:spPr>
        <a:xfrm xmlns:a="http://schemas.openxmlformats.org/drawingml/2006/main">
          <a:off x="1724025" y="2624137"/>
          <a:ext cx="137160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b-NO" sz="1100" b="1">
              <a:solidFill>
                <a:srgbClr val="FFFF00"/>
              </a:solidFill>
            </a:rPr>
            <a:t>Oil Price: $/b</a:t>
          </a:r>
        </a:p>
      </cdr:txBody>
    </cdr:sp>
  </cdr:relSizeAnchor>
  <cdr:relSizeAnchor xmlns:cdr="http://schemas.openxmlformats.org/drawingml/2006/chartDrawing">
    <cdr:from>
      <cdr:x>0.00417</cdr:x>
      <cdr:y>0.33858</cdr:y>
    </cdr:from>
    <cdr:to>
      <cdr:x>0.08125</cdr:x>
      <cdr:y>0.60945</cdr:y>
    </cdr:to>
    <cdr:sp macro="" textlink="">
      <cdr:nvSpPr>
        <cdr:cNvPr id="3" name="TextBox 2"/>
        <cdr:cNvSpPr txBox="1"/>
      </cdr:nvSpPr>
      <cdr:spPr>
        <a:xfrm xmlns:a="http://schemas.openxmlformats.org/drawingml/2006/main">
          <a:off x="19050" y="1023938"/>
          <a:ext cx="352425" cy="819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b-NO" sz="1100" b="1">
              <a:solidFill>
                <a:srgbClr val="FFFF00"/>
              </a:solidFill>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0.42083</cdr:x>
      <cdr:y>0.87674</cdr:y>
    </cdr:from>
    <cdr:to>
      <cdr:x>0.68333</cdr:x>
      <cdr:y>1</cdr:y>
    </cdr:to>
    <cdr:sp macro="" textlink="">
      <cdr:nvSpPr>
        <cdr:cNvPr id="2" name="TextBox 1"/>
        <cdr:cNvSpPr txBox="1"/>
      </cdr:nvSpPr>
      <cdr:spPr>
        <a:xfrm xmlns:a="http://schemas.openxmlformats.org/drawingml/2006/main">
          <a:off x="1924050" y="2405062"/>
          <a:ext cx="1200150" cy="3381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b-NO" sz="1100" b="1">
              <a:solidFill>
                <a:srgbClr val="FFFF00"/>
              </a:solidFill>
            </a:rPr>
            <a:t>Oil Price (OP): $/b</a:t>
          </a:r>
        </a:p>
      </cdr:txBody>
    </cdr:sp>
  </cdr:relSizeAnchor>
  <cdr:relSizeAnchor xmlns:cdr="http://schemas.openxmlformats.org/drawingml/2006/chartDrawing">
    <cdr:from>
      <cdr:x>0.00625</cdr:x>
      <cdr:y>0.42188</cdr:y>
    </cdr:from>
    <cdr:to>
      <cdr:x>0.09375</cdr:x>
      <cdr:y>0.55122</cdr:y>
    </cdr:to>
    <cdr:sp macro="" textlink="">
      <cdr:nvSpPr>
        <cdr:cNvPr id="3" name="TextBox 2"/>
        <cdr:cNvSpPr txBox="1"/>
      </cdr:nvSpPr>
      <cdr:spPr>
        <a:xfrm xmlns:a="http://schemas.openxmlformats.org/drawingml/2006/main">
          <a:off x="28576" y="1235647"/>
          <a:ext cx="400050" cy="3788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b-NO" sz="1100" b="1">
              <a:solidFill>
                <a:srgbClr val="FFFF00"/>
              </a:solidFill>
            </a:rPr>
            <a:t>% OP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37F9-8C7B-42DC-9EAF-5133C342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2078</Words>
  <Characters>11019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Mousa Jiyad</dc:creator>
  <cp:lastModifiedBy>Ahmed Mousa Jiyad</cp:lastModifiedBy>
  <cp:revision>3</cp:revision>
  <dcterms:created xsi:type="dcterms:W3CDTF">2015-12-06T22:16:00Z</dcterms:created>
  <dcterms:modified xsi:type="dcterms:W3CDTF">2015-12-06T23:10:00Z</dcterms:modified>
</cp:coreProperties>
</file>