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DD6128" w:rsidP="00C97CB3">
      <w:pPr>
        <w:pStyle w:val="GWSubtitleFrontPage"/>
        <w:jc w:val="both"/>
        <w:rPr>
          <w:color w:val="3C3C3B"/>
          <w:sz w:val="28"/>
          <w:szCs w:val="28"/>
        </w:rPr>
      </w:pPr>
      <w:r>
        <w:rPr>
          <w:color w:val="3C3C3B"/>
          <w:sz w:val="28"/>
          <w:szCs w:val="28"/>
        </w:rPr>
        <w:t>29</w:t>
      </w:r>
      <w:r w:rsidR="00245526">
        <w:rPr>
          <w:color w:val="3C3C3B"/>
          <w:sz w:val="28"/>
          <w:szCs w:val="28"/>
        </w:rPr>
        <w:t xml:space="preserve"> </w:t>
      </w:r>
      <w:r w:rsidR="00723F10">
        <w:rPr>
          <w:color w:val="3C3C3B"/>
          <w:sz w:val="28"/>
          <w:szCs w:val="28"/>
        </w:rPr>
        <w:t>December</w:t>
      </w:r>
      <w:r w:rsidR="005B480F">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33875449"/>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183FD4"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33875449" w:history="1">
        <w:r w:rsidR="00183FD4" w:rsidRPr="008D6ADA">
          <w:rPr>
            <w:rStyle w:val="Hyperlink"/>
            <w:noProof/>
          </w:rPr>
          <w:t>TABLE OF CONTENTS</w:t>
        </w:r>
        <w:r w:rsidR="00183FD4">
          <w:rPr>
            <w:noProof/>
            <w:webHidden/>
          </w:rPr>
          <w:tab/>
        </w:r>
        <w:r w:rsidR="00183FD4">
          <w:rPr>
            <w:noProof/>
            <w:webHidden/>
          </w:rPr>
          <w:fldChar w:fldCharType="begin"/>
        </w:r>
        <w:r w:rsidR="00183FD4">
          <w:rPr>
            <w:noProof/>
            <w:webHidden/>
          </w:rPr>
          <w:instrText xml:space="preserve"> PAGEREF _Toc533875449 \h </w:instrText>
        </w:r>
        <w:r w:rsidR="00183FD4">
          <w:rPr>
            <w:noProof/>
            <w:webHidden/>
          </w:rPr>
        </w:r>
        <w:r w:rsidR="00183FD4">
          <w:rPr>
            <w:noProof/>
            <w:webHidden/>
          </w:rPr>
          <w:fldChar w:fldCharType="separate"/>
        </w:r>
        <w:r w:rsidR="00183FD4">
          <w:rPr>
            <w:noProof/>
            <w:webHidden/>
          </w:rPr>
          <w:t>2</w:t>
        </w:r>
        <w:r w:rsidR="00183FD4">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50" w:history="1">
        <w:r w:rsidRPr="008D6ADA">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_Toc533875450 \h </w:instrText>
        </w:r>
        <w:r>
          <w:rPr>
            <w:noProof/>
            <w:webHidden/>
          </w:rPr>
        </w:r>
        <w:r>
          <w:rPr>
            <w:noProof/>
            <w:webHidden/>
          </w:rPr>
          <w:fldChar w:fldCharType="separate"/>
        </w:r>
        <w:r>
          <w:rPr>
            <w:noProof/>
            <w:webHidden/>
          </w:rPr>
          <w:t>3</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51" w:history="1">
        <w:r w:rsidRPr="008D6ADA">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_Toc533875451 \h </w:instrText>
        </w:r>
        <w:r>
          <w:rPr>
            <w:noProof/>
            <w:webHidden/>
          </w:rPr>
        </w:r>
        <w:r>
          <w:rPr>
            <w:noProof/>
            <w:webHidden/>
          </w:rPr>
          <w:fldChar w:fldCharType="separate"/>
        </w:r>
        <w:r>
          <w:rPr>
            <w:noProof/>
            <w:webHidden/>
          </w:rPr>
          <w:t>4</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52" w:history="1">
        <w:r w:rsidRPr="008D6ADA">
          <w:rPr>
            <w:rStyle w:val="Hyperlink"/>
            <w:noProof/>
          </w:rPr>
          <w:t>Short term outlook</w:t>
        </w:r>
        <w:r>
          <w:rPr>
            <w:noProof/>
            <w:webHidden/>
          </w:rPr>
          <w:tab/>
        </w:r>
        <w:r>
          <w:rPr>
            <w:noProof/>
            <w:webHidden/>
          </w:rPr>
          <w:fldChar w:fldCharType="begin"/>
        </w:r>
        <w:r>
          <w:rPr>
            <w:noProof/>
            <w:webHidden/>
          </w:rPr>
          <w:instrText xml:space="preserve"> PAGEREF _Toc533875452 \h </w:instrText>
        </w:r>
        <w:r>
          <w:rPr>
            <w:noProof/>
            <w:webHidden/>
          </w:rPr>
        </w:r>
        <w:r>
          <w:rPr>
            <w:noProof/>
            <w:webHidden/>
          </w:rPr>
          <w:fldChar w:fldCharType="separate"/>
        </w:r>
        <w:r>
          <w:rPr>
            <w:noProof/>
            <w:webHidden/>
          </w:rPr>
          <w:t>4</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53" w:history="1">
        <w:r w:rsidRPr="008D6ADA">
          <w:rPr>
            <w:rStyle w:val="Hyperlink"/>
            <w:noProof/>
          </w:rPr>
          <w:t>Medium to long term outlook</w:t>
        </w:r>
        <w:r>
          <w:rPr>
            <w:noProof/>
            <w:webHidden/>
          </w:rPr>
          <w:tab/>
        </w:r>
        <w:r>
          <w:rPr>
            <w:noProof/>
            <w:webHidden/>
          </w:rPr>
          <w:fldChar w:fldCharType="begin"/>
        </w:r>
        <w:r>
          <w:rPr>
            <w:noProof/>
            <w:webHidden/>
          </w:rPr>
          <w:instrText xml:space="preserve"> PAGEREF _Toc533875453 \h </w:instrText>
        </w:r>
        <w:r>
          <w:rPr>
            <w:noProof/>
            <w:webHidden/>
          </w:rPr>
        </w:r>
        <w:r>
          <w:rPr>
            <w:noProof/>
            <w:webHidden/>
          </w:rPr>
          <w:fldChar w:fldCharType="separate"/>
        </w:r>
        <w:r>
          <w:rPr>
            <w:noProof/>
            <w:webHidden/>
          </w:rPr>
          <w:t>4</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54" w:history="1">
        <w:r w:rsidRPr="008D6ADA">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_Toc533875454 \h </w:instrText>
        </w:r>
        <w:r>
          <w:rPr>
            <w:noProof/>
            <w:webHidden/>
          </w:rPr>
        </w:r>
        <w:r>
          <w:rPr>
            <w:noProof/>
            <w:webHidden/>
          </w:rPr>
          <w:fldChar w:fldCharType="separate"/>
        </w:r>
        <w:r>
          <w:rPr>
            <w:noProof/>
            <w:webHidden/>
          </w:rPr>
          <w:t>5</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55" w:history="1">
        <w:r w:rsidRPr="008D6ADA">
          <w:rPr>
            <w:rStyle w:val="Hyperlink"/>
            <w:rFonts w:eastAsia="Times New Roman"/>
            <w:noProof/>
            <w:lang w:val="en-GB"/>
          </w:rPr>
          <w:t>IDF targeted International Zone in response to unannounced visit by Trump</w:t>
        </w:r>
        <w:r>
          <w:rPr>
            <w:noProof/>
            <w:webHidden/>
          </w:rPr>
          <w:tab/>
        </w:r>
        <w:r>
          <w:rPr>
            <w:noProof/>
            <w:webHidden/>
          </w:rPr>
          <w:fldChar w:fldCharType="begin"/>
        </w:r>
        <w:r>
          <w:rPr>
            <w:noProof/>
            <w:webHidden/>
          </w:rPr>
          <w:instrText xml:space="preserve"> PAGEREF _Toc533875455 \h </w:instrText>
        </w:r>
        <w:r>
          <w:rPr>
            <w:noProof/>
            <w:webHidden/>
          </w:rPr>
        </w:r>
        <w:r>
          <w:rPr>
            <w:noProof/>
            <w:webHidden/>
          </w:rPr>
          <w:fldChar w:fldCharType="separate"/>
        </w:r>
        <w:r>
          <w:rPr>
            <w:noProof/>
            <w:webHidden/>
          </w:rPr>
          <w:t>5</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56" w:history="1">
        <w:r w:rsidRPr="008D6ADA">
          <w:rPr>
            <w:rStyle w:val="Hyperlink"/>
            <w:rFonts w:eastAsia="Times New Roman"/>
            <w:noProof/>
            <w:lang w:val="en-GB"/>
          </w:rPr>
          <w:t>US withdrawal from Syria prompts envoy resignation and signs of shifting allegiances</w:t>
        </w:r>
        <w:r>
          <w:rPr>
            <w:noProof/>
            <w:webHidden/>
          </w:rPr>
          <w:tab/>
        </w:r>
        <w:r>
          <w:rPr>
            <w:noProof/>
            <w:webHidden/>
          </w:rPr>
          <w:fldChar w:fldCharType="begin"/>
        </w:r>
        <w:r>
          <w:rPr>
            <w:noProof/>
            <w:webHidden/>
          </w:rPr>
          <w:instrText xml:space="preserve"> PAGEREF _Toc533875456 \h </w:instrText>
        </w:r>
        <w:r>
          <w:rPr>
            <w:noProof/>
            <w:webHidden/>
          </w:rPr>
        </w:r>
        <w:r>
          <w:rPr>
            <w:noProof/>
            <w:webHidden/>
          </w:rPr>
          <w:fldChar w:fldCharType="separate"/>
        </w:r>
        <w:r>
          <w:rPr>
            <w:noProof/>
            <w:webHidden/>
          </w:rPr>
          <w:t>5</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57" w:history="1">
        <w:r w:rsidRPr="008D6ADA">
          <w:rPr>
            <w:rStyle w:val="Hyperlink"/>
            <w:rFonts w:eastAsia="Times New Roman"/>
            <w:noProof/>
            <w:lang w:val="en-GB"/>
          </w:rPr>
          <w:t>Two new ministers approved by Parliament; three remaining</w:t>
        </w:r>
        <w:r>
          <w:rPr>
            <w:noProof/>
            <w:webHidden/>
          </w:rPr>
          <w:tab/>
        </w:r>
        <w:r>
          <w:rPr>
            <w:noProof/>
            <w:webHidden/>
          </w:rPr>
          <w:fldChar w:fldCharType="begin"/>
        </w:r>
        <w:r>
          <w:rPr>
            <w:noProof/>
            <w:webHidden/>
          </w:rPr>
          <w:instrText xml:space="preserve"> PAGEREF _Toc533875457 \h </w:instrText>
        </w:r>
        <w:r>
          <w:rPr>
            <w:noProof/>
            <w:webHidden/>
          </w:rPr>
        </w:r>
        <w:r>
          <w:rPr>
            <w:noProof/>
            <w:webHidden/>
          </w:rPr>
          <w:fldChar w:fldCharType="separate"/>
        </w:r>
        <w:r>
          <w:rPr>
            <w:noProof/>
            <w:webHidden/>
          </w:rPr>
          <w:t>5</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58" w:history="1">
        <w:r w:rsidRPr="008D6ADA">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_Toc533875458 \h </w:instrText>
        </w:r>
        <w:r>
          <w:rPr>
            <w:noProof/>
            <w:webHidden/>
          </w:rPr>
        </w:r>
        <w:r>
          <w:rPr>
            <w:noProof/>
            <w:webHidden/>
          </w:rPr>
          <w:fldChar w:fldCharType="separate"/>
        </w:r>
        <w:r>
          <w:rPr>
            <w:noProof/>
            <w:webHidden/>
          </w:rPr>
          <w:t>5</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59" w:history="1">
        <w:r w:rsidRPr="008D6ADA">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_Toc533875459 \h </w:instrText>
        </w:r>
        <w:r>
          <w:rPr>
            <w:noProof/>
            <w:webHidden/>
          </w:rPr>
        </w:r>
        <w:r>
          <w:rPr>
            <w:noProof/>
            <w:webHidden/>
          </w:rPr>
          <w:fldChar w:fldCharType="separate"/>
        </w:r>
        <w:r>
          <w:rPr>
            <w:noProof/>
            <w:webHidden/>
          </w:rPr>
          <w:t>6</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60" w:history="1">
        <w:r w:rsidRPr="008D6ADA">
          <w:rPr>
            <w:rStyle w:val="Hyperlink"/>
            <w:noProof/>
            <w:lang w:val="en-GB"/>
          </w:rPr>
          <w:t>National/Regional</w:t>
        </w:r>
        <w:r>
          <w:rPr>
            <w:noProof/>
            <w:webHidden/>
          </w:rPr>
          <w:tab/>
        </w:r>
        <w:r>
          <w:rPr>
            <w:noProof/>
            <w:webHidden/>
          </w:rPr>
          <w:fldChar w:fldCharType="begin"/>
        </w:r>
        <w:r>
          <w:rPr>
            <w:noProof/>
            <w:webHidden/>
          </w:rPr>
          <w:instrText xml:space="preserve"> PAGEREF _Toc533875460 \h </w:instrText>
        </w:r>
        <w:r>
          <w:rPr>
            <w:noProof/>
            <w:webHidden/>
          </w:rPr>
        </w:r>
        <w:r>
          <w:rPr>
            <w:noProof/>
            <w:webHidden/>
          </w:rPr>
          <w:fldChar w:fldCharType="separate"/>
        </w:r>
        <w:r>
          <w:rPr>
            <w:noProof/>
            <w:webHidden/>
          </w:rPr>
          <w:t>6</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61" w:history="1">
        <w:r w:rsidRPr="008D6ADA">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_Toc533875461 \h </w:instrText>
        </w:r>
        <w:r>
          <w:rPr>
            <w:noProof/>
            <w:webHidden/>
          </w:rPr>
        </w:r>
        <w:r>
          <w:rPr>
            <w:noProof/>
            <w:webHidden/>
          </w:rPr>
          <w:fldChar w:fldCharType="separate"/>
        </w:r>
        <w:r>
          <w:rPr>
            <w:noProof/>
            <w:webHidden/>
          </w:rPr>
          <w:t>9</w:t>
        </w:r>
        <w:r>
          <w:rPr>
            <w:noProof/>
            <w:webHidden/>
          </w:rPr>
          <w:fldChar w:fldCharType="end"/>
        </w:r>
      </w:hyperlink>
    </w:p>
    <w:p w:rsidR="00183FD4" w:rsidRDefault="00183FD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3875462" w:history="1">
        <w:r w:rsidRPr="008D6ADA">
          <w:rPr>
            <w:rStyle w:val="Hyperlink"/>
            <w:noProof/>
            <w:lang w:eastAsia="ja-JP"/>
          </w:rPr>
          <w:t>Countrywide Military/Secur</w:t>
        </w:r>
        <w:r w:rsidRPr="008D6ADA">
          <w:rPr>
            <w:rStyle w:val="Hyperlink"/>
            <w:noProof/>
          </w:rPr>
          <w:t>i</w:t>
        </w:r>
        <w:r w:rsidRPr="008D6ADA">
          <w:rPr>
            <w:rStyle w:val="Hyperlink"/>
            <w:noProof/>
            <w:lang w:eastAsia="ja-JP"/>
          </w:rPr>
          <w:t>ty Situation</w:t>
        </w:r>
        <w:r>
          <w:rPr>
            <w:noProof/>
            <w:webHidden/>
          </w:rPr>
          <w:tab/>
        </w:r>
        <w:r>
          <w:rPr>
            <w:noProof/>
            <w:webHidden/>
          </w:rPr>
          <w:fldChar w:fldCharType="begin"/>
        </w:r>
        <w:r>
          <w:rPr>
            <w:noProof/>
            <w:webHidden/>
          </w:rPr>
          <w:instrText xml:space="preserve"> PAGEREF _Toc533875462 \h </w:instrText>
        </w:r>
        <w:r>
          <w:rPr>
            <w:noProof/>
            <w:webHidden/>
          </w:rPr>
        </w:r>
        <w:r>
          <w:rPr>
            <w:noProof/>
            <w:webHidden/>
          </w:rPr>
          <w:fldChar w:fldCharType="separate"/>
        </w:r>
        <w:r>
          <w:rPr>
            <w:noProof/>
            <w:webHidden/>
          </w:rPr>
          <w:t>9</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63" w:history="1">
        <w:r w:rsidRPr="008D6ADA">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_Toc533875463 \h </w:instrText>
        </w:r>
        <w:r>
          <w:rPr>
            <w:noProof/>
            <w:webHidden/>
          </w:rPr>
        </w:r>
        <w:r>
          <w:rPr>
            <w:noProof/>
            <w:webHidden/>
          </w:rPr>
          <w:fldChar w:fldCharType="separate"/>
        </w:r>
        <w:r>
          <w:rPr>
            <w:noProof/>
            <w:webHidden/>
          </w:rPr>
          <w:t>14</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64" w:history="1">
        <w:r w:rsidRPr="008D6ADA">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_Toc533875464 \h </w:instrText>
        </w:r>
        <w:r>
          <w:rPr>
            <w:noProof/>
            <w:webHidden/>
          </w:rPr>
        </w:r>
        <w:r>
          <w:rPr>
            <w:noProof/>
            <w:webHidden/>
          </w:rPr>
          <w:fldChar w:fldCharType="separate"/>
        </w:r>
        <w:r>
          <w:rPr>
            <w:noProof/>
            <w:webHidden/>
          </w:rPr>
          <w:t>15</w:t>
        </w:r>
        <w:r>
          <w:rPr>
            <w:noProof/>
            <w:webHidden/>
          </w:rPr>
          <w:fldChar w:fldCharType="end"/>
        </w:r>
      </w:hyperlink>
    </w:p>
    <w:p w:rsidR="00183FD4" w:rsidRDefault="00183FD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3875465" w:history="1">
        <w:r w:rsidRPr="008D6ADA">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_Toc533875465 \h </w:instrText>
        </w:r>
        <w:r>
          <w:rPr>
            <w:noProof/>
            <w:webHidden/>
          </w:rPr>
        </w:r>
        <w:r>
          <w:rPr>
            <w:noProof/>
            <w:webHidden/>
          </w:rPr>
          <w:fldChar w:fldCharType="separate"/>
        </w:r>
        <w:r>
          <w:rPr>
            <w:noProof/>
            <w:webHidden/>
          </w:rPr>
          <w:t>15</w:t>
        </w:r>
        <w:r>
          <w:rPr>
            <w:noProof/>
            <w:webHidden/>
          </w:rPr>
          <w:fldChar w:fldCharType="end"/>
        </w:r>
      </w:hyperlink>
    </w:p>
    <w:p w:rsidR="005C024D" w:rsidRPr="00DD670C" w:rsidRDefault="00464363" w:rsidP="00370985">
      <w:pPr>
        <w:pStyle w:val="TOC1"/>
        <w:tabs>
          <w:tab w:val="right" w:leader="dot" w:pos="9973"/>
        </w:tabs>
        <w:jc w:val="both"/>
        <w:rPr>
          <w:b w:val="0"/>
          <w:szCs w:val="20"/>
        </w:rPr>
      </w:pPr>
      <w:r w:rsidRPr="00DD670C">
        <w:rPr>
          <w:b w:val="0"/>
          <w:szCs w:val="20"/>
        </w:rPr>
        <w:fldChar w:fldCharType="end"/>
      </w:r>
    </w:p>
    <w:p w:rsidR="006975C0" w:rsidRPr="00DD670C" w:rsidRDefault="006975C0" w:rsidP="00370985">
      <w:pPr>
        <w:jc w:val="both"/>
        <w:rPr>
          <w:rFonts w:cs="Arial"/>
          <w:lang w:val="en-GB"/>
        </w:rPr>
      </w:pPr>
    </w:p>
    <w:p w:rsidR="0044655F" w:rsidRPr="00DD670C" w:rsidRDefault="0044655F" w:rsidP="00370985">
      <w:pPr>
        <w:jc w:val="both"/>
        <w:rPr>
          <w:rFonts w:cs="Arial"/>
          <w:lang w:val="en-GB"/>
        </w:rPr>
      </w:pPr>
    </w:p>
    <w:p w:rsidR="00ED5CC7" w:rsidRPr="00DD670C" w:rsidRDefault="00ED5CC7" w:rsidP="00370985">
      <w:pPr>
        <w:jc w:val="both"/>
        <w:rPr>
          <w:rFonts w:cs="Arial"/>
          <w:lang w:val="en-GB"/>
        </w:rPr>
      </w:pPr>
    </w:p>
    <w:p w:rsidR="00222F98" w:rsidRPr="00DD670C" w:rsidRDefault="00222F98" w:rsidP="00370985">
      <w:pPr>
        <w:jc w:val="both"/>
        <w:rPr>
          <w:rFonts w:cs="Arial"/>
          <w:lang w:val="en-GB"/>
        </w:rPr>
      </w:pPr>
    </w:p>
    <w:p w:rsidR="00183FD4" w:rsidRPr="007B5737" w:rsidRDefault="00183FD4" w:rsidP="00183FD4">
      <w:pPr>
        <w:jc w:val="both"/>
        <w:rPr>
          <w:rFonts w:cs="Arial"/>
          <w:lang w:val="en-GB"/>
        </w:rPr>
      </w:pPr>
      <w:r w:rsidRPr="007B5737">
        <w:rPr>
          <w:rFonts w:cs="Arial"/>
          <w:lang w:val="en-GB"/>
        </w:rPr>
        <w:t xml:space="preserve">This report is an abridged version of GardaWorld </w:t>
      </w:r>
      <w:r>
        <w:rPr>
          <w:rFonts w:cs="Arial"/>
          <w:lang w:val="en-GB"/>
        </w:rPr>
        <w:t>Weekly Iraq .Xplored December 01</w:t>
      </w:r>
      <w:r w:rsidRPr="007B5737">
        <w:rPr>
          <w:rFonts w:cs="Arial"/>
          <w:lang w:val="en-GB"/>
        </w:rPr>
        <w:t xml:space="preserve">, 2018.  To subscribe to the full versions of the daily/weekly Iraq .Xplored reports, or for enquires relating to other GardaWorld services, please contact </w:t>
      </w:r>
      <w:hyperlink r:id="rId12" w:history="1">
        <w:r w:rsidRPr="007B5737">
          <w:rPr>
            <w:rFonts w:cs="Arial"/>
            <w:color w:val="0000FF" w:themeColor="hyperlink"/>
            <w:u w:val="single"/>
            <w:lang w:val="en-GB"/>
          </w:rPr>
          <w:t>daniel.matthews@garda.com</w:t>
        </w:r>
      </w:hyperlink>
    </w:p>
    <w:p w:rsidR="00FC1246" w:rsidRPr="00DD670C" w:rsidRDefault="00FC1246" w:rsidP="00370985">
      <w:pPr>
        <w:pStyle w:val="TOC1"/>
        <w:tabs>
          <w:tab w:val="right" w:leader="dot" w:pos="9973"/>
        </w:tabs>
        <w:jc w:val="both"/>
        <w:rPr>
          <w:i/>
          <w:iCs/>
          <w:sz w:val="18"/>
          <w:szCs w:val="18"/>
          <w:lang w:val="en-GB"/>
        </w:rPr>
      </w:pPr>
    </w:p>
    <w:p w:rsidR="003113DD" w:rsidRPr="00DD670C" w:rsidRDefault="003113DD" w:rsidP="00370985">
      <w:pPr>
        <w:jc w:val="both"/>
        <w:rPr>
          <w:rFonts w:cs="Arial"/>
          <w:lang w:val="en-GB"/>
        </w:rPr>
      </w:pPr>
    </w:p>
    <w:p w:rsidR="001638A7" w:rsidRPr="00DD670C" w:rsidRDefault="001638A7" w:rsidP="00370985">
      <w:pPr>
        <w:jc w:val="both"/>
        <w:rPr>
          <w:rFonts w:cs="Arial"/>
          <w:lang w:val="en-GB"/>
        </w:rPr>
      </w:pPr>
    </w:p>
    <w:p w:rsidR="001638A7" w:rsidRPr="00DD670C" w:rsidRDefault="001638A7" w:rsidP="00370985">
      <w:pPr>
        <w:jc w:val="both"/>
        <w:rPr>
          <w:rFonts w:cs="Arial"/>
          <w:lang w:val="en-GB"/>
        </w:rPr>
      </w:pPr>
    </w:p>
    <w:p w:rsidR="00C8080D" w:rsidRPr="00DD670C" w:rsidRDefault="00C8080D" w:rsidP="00370985">
      <w:pPr>
        <w:jc w:val="both"/>
        <w:rPr>
          <w:rFonts w:cs="Arial"/>
          <w:lang w:val="en-GB"/>
        </w:rPr>
      </w:pPr>
    </w:p>
    <w:p w:rsidR="004872AB" w:rsidRDefault="004872AB" w:rsidP="00370985">
      <w:pPr>
        <w:jc w:val="both"/>
        <w:rPr>
          <w:rFonts w:cs="Arial"/>
          <w:lang w:val="en-GB"/>
        </w:rPr>
      </w:pPr>
    </w:p>
    <w:p w:rsidR="008171EA" w:rsidRDefault="008171EA" w:rsidP="00370985">
      <w:pPr>
        <w:jc w:val="both"/>
        <w:rPr>
          <w:rFonts w:cs="Arial"/>
          <w:lang w:val="en-GB"/>
        </w:rPr>
      </w:pPr>
    </w:p>
    <w:p w:rsidR="008171EA" w:rsidRPr="00DD670C" w:rsidRDefault="008171EA" w:rsidP="00370985">
      <w:pPr>
        <w:jc w:val="both"/>
        <w:rPr>
          <w:rFonts w:cs="Arial"/>
          <w:lang w:val="en-GB"/>
        </w:rPr>
      </w:pPr>
    </w:p>
    <w:p w:rsidR="007578B5" w:rsidRPr="00DD670C" w:rsidRDefault="007578B5" w:rsidP="00370985">
      <w:pPr>
        <w:pStyle w:val="02GWBodycopy"/>
        <w:rPr>
          <w:rFonts w:cs="Arial"/>
          <w:b/>
          <w:i/>
          <w:sz w:val="16"/>
          <w:szCs w:val="16"/>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33875450"/>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33875451"/>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86543C" w:rsidRDefault="0086543C" w:rsidP="0086543C">
      <w:pPr>
        <w:pStyle w:val="H2RAMReport"/>
      </w:pPr>
      <w:bookmarkStart w:id="4" w:name="_Toc493854896"/>
      <w:bookmarkStart w:id="5" w:name="_Toc505451848"/>
      <w:bookmarkStart w:id="6" w:name="_Toc533765560"/>
      <w:bookmarkStart w:id="7" w:name="_Toc533875452"/>
      <w:r>
        <w:t>Short term outlook</w:t>
      </w:r>
      <w:bookmarkEnd w:id="6"/>
      <w:bookmarkEnd w:id="7"/>
      <w:r>
        <w:t xml:space="preserve"> </w:t>
      </w:r>
    </w:p>
    <w:p w:rsidR="0086543C" w:rsidRDefault="0086543C" w:rsidP="0086543C">
      <w:pPr>
        <w:spacing w:line="276" w:lineRule="auto"/>
        <w:jc w:val="both"/>
        <w:rPr>
          <w:rFonts w:eastAsia="Arial" w:cs="Arial"/>
          <w:bCs/>
          <w:spacing w:val="4"/>
        </w:rPr>
      </w:pPr>
      <w:bookmarkStart w:id="8" w:name="_Hlk532453046"/>
      <w:bookmarkStart w:id="9" w:name="_Toc519855161"/>
      <w:bookmarkStart w:id="10" w:name="_Toc519958483"/>
      <w:bookmarkEnd w:id="4"/>
      <w:bookmarkEnd w:id="5"/>
    </w:p>
    <w:p w:rsidR="0086543C" w:rsidRDefault="0086543C" w:rsidP="0086543C">
      <w:pPr>
        <w:numPr>
          <w:ilvl w:val="0"/>
          <w:numId w:val="1"/>
        </w:numPr>
        <w:spacing w:after="60" w:line="276" w:lineRule="auto"/>
        <w:ind w:left="284" w:hanging="284"/>
        <w:jc w:val="both"/>
        <w:rPr>
          <w:rFonts w:cs="Arial"/>
          <w:szCs w:val="20"/>
        </w:rPr>
      </w:pPr>
      <w:bookmarkStart w:id="11" w:name="_Hlk533000834"/>
      <w:bookmarkEnd w:id="8"/>
      <w:r>
        <w:rPr>
          <w:rFonts w:cs="Arial"/>
          <w:szCs w:val="20"/>
        </w:rPr>
        <w:t xml:space="preserve">Rocket attacks directed at the International Zone and assessed to target the US Embassy in response to President Trump’s visit, highlight elevated anti-US sentiments and willingness from pro-Iranian factions to target US interests in the country.  This is not unprecedented or unexpected, and absent a significant escalation in anti-US hostilities it is unlikely to affect commercial operations on the ground.  The </w:t>
      </w:r>
      <w:proofErr w:type="spellStart"/>
      <w:r>
        <w:rPr>
          <w:rFonts w:cs="Arial"/>
          <w:szCs w:val="20"/>
        </w:rPr>
        <w:t>GoI’s</w:t>
      </w:r>
      <w:proofErr w:type="spellEnd"/>
      <w:r>
        <w:rPr>
          <w:rFonts w:cs="Arial"/>
          <w:szCs w:val="20"/>
        </w:rPr>
        <w:t xml:space="preserve"> response also highlight that US-Iraqi relations remain driven by pragmatic recognition of the necessity of continued western military and commercial support, and this is unlikely to change. </w:t>
      </w:r>
    </w:p>
    <w:p w:rsidR="0086543C" w:rsidRDefault="0086543C" w:rsidP="0086543C">
      <w:pPr>
        <w:spacing w:after="60" w:line="276" w:lineRule="auto"/>
        <w:ind w:left="284"/>
        <w:jc w:val="both"/>
        <w:rPr>
          <w:rFonts w:cs="Arial"/>
          <w:szCs w:val="20"/>
        </w:rPr>
      </w:pPr>
    </w:p>
    <w:p w:rsidR="0086543C" w:rsidRPr="006A037F" w:rsidRDefault="0086543C" w:rsidP="0086543C">
      <w:pPr>
        <w:numPr>
          <w:ilvl w:val="0"/>
          <w:numId w:val="1"/>
        </w:numPr>
        <w:spacing w:after="60" w:line="276" w:lineRule="auto"/>
        <w:ind w:left="284" w:hanging="284"/>
        <w:jc w:val="both"/>
        <w:rPr>
          <w:rFonts w:cs="Arial"/>
          <w:szCs w:val="20"/>
        </w:rPr>
      </w:pPr>
      <w:r w:rsidRPr="006A037F">
        <w:rPr>
          <w:rFonts w:cs="Arial"/>
          <w:szCs w:val="20"/>
        </w:rPr>
        <w:t xml:space="preserve">The initial trial period for the International Zone opening expired on December 23 with no clarification from the Iraqi </w:t>
      </w:r>
      <w:r w:rsidRPr="006A037F">
        <w:rPr>
          <w:rFonts w:eastAsia="Calibri" w:cs="Arial"/>
          <w:szCs w:val="20"/>
          <w:lang w:val="en-GB"/>
        </w:rPr>
        <w:t>Government</w:t>
      </w:r>
      <w:r w:rsidRPr="006A037F">
        <w:rPr>
          <w:rFonts w:cs="Arial"/>
          <w:szCs w:val="20"/>
        </w:rPr>
        <w:t xml:space="preserve"> whether the IZ will remain open for public access.  </w:t>
      </w:r>
      <w:bookmarkEnd w:id="11"/>
      <w:r w:rsidRPr="006A037F">
        <w:rPr>
          <w:rFonts w:cs="Arial"/>
          <w:szCs w:val="20"/>
        </w:rPr>
        <w:t xml:space="preserve">On December 11, Prime Minister Mahdi described </w:t>
      </w:r>
      <w:bookmarkStart w:id="12" w:name="_Hlk533000969"/>
      <w:r w:rsidRPr="006A037F">
        <w:rPr>
          <w:rFonts w:cs="Arial"/>
          <w:szCs w:val="20"/>
        </w:rPr>
        <w:t>the reopening as ‘irreversible’</w:t>
      </w:r>
      <w:bookmarkEnd w:id="12"/>
      <w:r w:rsidRPr="006A037F">
        <w:rPr>
          <w:rFonts w:cs="Arial"/>
          <w:szCs w:val="20"/>
        </w:rPr>
        <w:t xml:space="preserve"> and absent further announcement it can be assumed that the IZ will remain accessible to the public according to the current opening timings (17:00hrs – 05:00hrs).  On December 16, the US Embassy issued a security alert </w:t>
      </w:r>
      <w:bookmarkStart w:id="13" w:name="_Hlk533001732"/>
      <w:r w:rsidRPr="006A037F">
        <w:rPr>
          <w:rFonts w:cs="Arial"/>
          <w:szCs w:val="20"/>
        </w:rPr>
        <w:t xml:space="preserve">stating it has initiated “security protocols </w:t>
      </w:r>
      <w:proofErr w:type="gramStart"/>
      <w:r w:rsidRPr="006A037F">
        <w:rPr>
          <w:rFonts w:cs="Arial"/>
          <w:szCs w:val="20"/>
        </w:rPr>
        <w:t>similar to</w:t>
      </w:r>
      <w:proofErr w:type="gramEnd"/>
      <w:r w:rsidRPr="006A037F">
        <w:rPr>
          <w:rFonts w:cs="Arial"/>
          <w:szCs w:val="20"/>
        </w:rPr>
        <w:t xml:space="preserve"> those used throughout Baghdad during the IZ’s open hours.”  Actions to take listed in the alert included to “keep a low profile, be aware of surroundings and use caution while transiting the IZ”.</w:t>
      </w:r>
      <w:bookmarkEnd w:id="13"/>
    </w:p>
    <w:p w:rsidR="0086543C" w:rsidRPr="00007FA5" w:rsidRDefault="0086543C" w:rsidP="0086543C">
      <w:pPr>
        <w:spacing w:after="60" w:line="276" w:lineRule="auto"/>
        <w:jc w:val="both"/>
        <w:rPr>
          <w:rFonts w:eastAsia="Arial" w:cs="Arial"/>
          <w:bCs/>
          <w:spacing w:val="4"/>
        </w:rPr>
      </w:pPr>
    </w:p>
    <w:p w:rsidR="0086543C" w:rsidRPr="002A65B0" w:rsidRDefault="0086543C" w:rsidP="0086543C">
      <w:pPr>
        <w:numPr>
          <w:ilvl w:val="0"/>
          <w:numId w:val="1"/>
        </w:numPr>
        <w:spacing w:after="60" w:line="276" w:lineRule="auto"/>
        <w:ind w:left="284" w:hanging="284"/>
        <w:jc w:val="both"/>
        <w:rPr>
          <w:rFonts w:cs="Arial"/>
          <w:lang w:eastAsia="ja-JP"/>
        </w:rPr>
      </w:pPr>
      <w:r>
        <w:rPr>
          <w:rFonts w:cs="Arial"/>
          <w:szCs w:val="20"/>
          <w:lang w:eastAsia="ja-JP"/>
        </w:rPr>
        <w:t xml:space="preserve">Political tensions remain high in Basra following </w:t>
      </w:r>
      <w:proofErr w:type="gramStart"/>
      <w:r>
        <w:rPr>
          <w:rFonts w:cs="Arial"/>
          <w:szCs w:val="20"/>
          <w:lang w:eastAsia="ja-JP"/>
        </w:rPr>
        <w:t>a number of</w:t>
      </w:r>
      <w:proofErr w:type="gramEnd"/>
      <w:r>
        <w:rPr>
          <w:rFonts w:cs="Arial"/>
          <w:szCs w:val="20"/>
          <w:lang w:eastAsia="ja-JP"/>
        </w:rPr>
        <w:t xml:space="preserve"> protests in Basra City this week.  </w:t>
      </w:r>
      <w:r>
        <w:rPr>
          <w:rFonts w:eastAsia="Calibri" w:cs="Arial"/>
          <w:szCs w:val="20"/>
        </w:rPr>
        <w:t xml:space="preserve">On December 21 a demonstration calling for the dismissal of the Governor was dispersed by ISF using tear gas and live ammunition, with several protesters injured according to media reports.  Further protest activity, with an associated risk of violence, can be expected in Basra City in the short term </w:t>
      </w:r>
      <w:proofErr w:type="gramStart"/>
      <w:r>
        <w:rPr>
          <w:rFonts w:eastAsia="Calibri" w:cs="Arial"/>
          <w:szCs w:val="20"/>
        </w:rPr>
        <w:t>as long as</w:t>
      </w:r>
      <w:proofErr w:type="gramEnd"/>
      <w:r>
        <w:rPr>
          <w:rFonts w:eastAsia="Calibri" w:cs="Arial"/>
          <w:szCs w:val="20"/>
        </w:rPr>
        <w:t xml:space="preserve"> political tensions remain high. </w:t>
      </w:r>
    </w:p>
    <w:p w:rsidR="0086543C" w:rsidRDefault="0086543C" w:rsidP="0086543C">
      <w:pPr>
        <w:pStyle w:val="Bulletlist"/>
        <w:numPr>
          <w:ilvl w:val="0"/>
          <w:numId w:val="0"/>
        </w:numPr>
        <w:ind w:left="284"/>
      </w:pPr>
    </w:p>
    <w:p w:rsidR="0086543C" w:rsidRPr="00544EC6" w:rsidRDefault="0086543C" w:rsidP="0086543C">
      <w:pPr>
        <w:pStyle w:val="Bulletlist"/>
        <w:ind w:left="284" w:hanging="360"/>
      </w:pPr>
      <w: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rsidR="0086543C" w:rsidRPr="002E734D" w:rsidRDefault="0086543C" w:rsidP="0086543C">
      <w:pPr>
        <w:pStyle w:val="Bulletlist"/>
        <w:numPr>
          <w:ilvl w:val="0"/>
          <w:numId w:val="0"/>
        </w:numPr>
      </w:pPr>
    </w:p>
    <w:p w:rsidR="0086543C" w:rsidRDefault="0086543C" w:rsidP="0086543C">
      <w:pPr>
        <w:pStyle w:val="Bulletlist"/>
        <w:ind w:left="284" w:hanging="284"/>
      </w:pPr>
      <w:bookmarkStart w:id="14" w:name="_Hlk530379562"/>
      <w:r>
        <w:t xml:space="preserve">Political focus now remains on the five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Upcoming 2019 fiscal year budget discussions can also be expected to drive protest activity in Baghdad and the southern provinces. </w:t>
      </w:r>
    </w:p>
    <w:p w:rsidR="0086543C" w:rsidRDefault="0086543C" w:rsidP="0086543C">
      <w:pPr>
        <w:pStyle w:val="H2RAMReport"/>
        <w:spacing w:line="276" w:lineRule="auto"/>
      </w:pPr>
      <w:bookmarkStart w:id="15" w:name="_Toc533765561"/>
      <w:bookmarkStart w:id="16" w:name="_Toc533875453"/>
      <w:bookmarkEnd w:id="14"/>
      <w:r w:rsidRPr="00DD670C">
        <w:t>Medium to long term outlook</w:t>
      </w:r>
      <w:bookmarkEnd w:id="9"/>
      <w:bookmarkEnd w:id="10"/>
      <w:bookmarkEnd w:id="15"/>
      <w:bookmarkEnd w:id="16"/>
      <w:r w:rsidRPr="00DD670C">
        <w:t xml:space="preserve"> </w:t>
      </w:r>
    </w:p>
    <w:p w:rsidR="0086543C" w:rsidRDefault="0086543C" w:rsidP="0086543C">
      <w:pPr>
        <w:pStyle w:val="Style2"/>
      </w:pPr>
    </w:p>
    <w:p w:rsidR="0086543C" w:rsidRPr="009872FF" w:rsidRDefault="0086543C" w:rsidP="0086543C">
      <w:pPr>
        <w:numPr>
          <w:ilvl w:val="0"/>
          <w:numId w:val="1"/>
        </w:numPr>
        <w:spacing w:after="60" w:line="276" w:lineRule="auto"/>
        <w:ind w:left="284"/>
        <w:jc w:val="both"/>
        <w:rPr>
          <w:rFonts w:cs="Arial"/>
          <w:lang w:eastAsia="ja-JP"/>
        </w:rPr>
      </w:pPr>
      <w:r>
        <w:rPr>
          <w:rFonts w:cs="Arial"/>
          <w:lang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86543C" w:rsidRPr="00117E62" w:rsidRDefault="0086543C" w:rsidP="0086543C">
      <w:pPr>
        <w:ind w:left="720"/>
        <w:contextualSpacing/>
        <w:rPr>
          <w:bCs/>
        </w:rPr>
      </w:pPr>
    </w:p>
    <w:p w:rsidR="00795D5A" w:rsidRPr="0086543C" w:rsidRDefault="0086543C" w:rsidP="0086543C">
      <w:pPr>
        <w:numPr>
          <w:ilvl w:val="0"/>
          <w:numId w:val="1"/>
        </w:numPr>
        <w:spacing w:after="60" w:line="276" w:lineRule="auto"/>
        <w:ind w:left="284" w:hanging="284"/>
        <w:jc w:val="both"/>
        <w:rPr>
          <w:rFonts w:cs="Arial"/>
          <w:lang w:eastAsia="ja-JP"/>
        </w:rPr>
      </w:pPr>
      <w:r w:rsidRPr="00117E62">
        <w:rPr>
          <w:rFonts w:cs="Arial"/>
          <w:lang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r w:rsidR="00795D5A" w:rsidRPr="0086543C">
        <w:rPr>
          <w:rFonts w:eastAsia="SimSun" w:cs="Arial"/>
          <w:caps/>
          <w:color w:val="FFFFFF"/>
          <w:spacing w:val="15"/>
          <w:sz w:val="28"/>
          <w:szCs w:val="26"/>
          <w:lang w:eastAsia="ja-JP"/>
        </w:rPr>
        <w:br w:type="page"/>
      </w:r>
    </w:p>
    <w:p w:rsidR="001E24AE" w:rsidRPr="00E30DE1" w:rsidRDefault="006F1FDF" w:rsidP="00E30DE1">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7" w:name="_Toc533875454"/>
      <w:r w:rsidRPr="00DD670C">
        <w:rPr>
          <w:rFonts w:eastAsia="SimSun" w:cs="Arial"/>
          <w:caps/>
          <w:color w:val="FFFFFF"/>
          <w:spacing w:val="15"/>
          <w:sz w:val="28"/>
          <w:szCs w:val="26"/>
          <w:lang w:eastAsia="ja-JP"/>
        </w:rPr>
        <w:lastRenderedPageBreak/>
        <w:t>Significant events</w:t>
      </w:r>
      <w:bookmarkEnd w:id="17"/>
    </w:p>
    <w:p w:rsidR="00715D4C" w:rsidRDefault="00715D4C" w:rsidP="00715D4C">
      <w:pPr>
        <w:keepNext/>
        <w:keepLines/>
        <w:spacing w:before="200" w:line="276" w:lineRule="auto"/>
        <w:outlineLvl w:val="1"/>
        <w:rPr>
          <w:rFonts w:cs="Arial"/>
          <w:b/>
          <w:bCs/>
          <w:szCs w:val="20"/>
        </w:rPr>
      </w:pPr>
      <w:bookmarkStart w:id="18" w:name="_Toc533875455"/>
      <w:r w:rsidRPr="00715D4C">
        <w:rPr>
          <w:rFonts w:eastAsia="Times New Roman" w:cs="Arial"/>
          <w:b/>
          <w:bCs/>
          <w:color w:val="E42313"/>
          <w:sz w:val="24"/>
          <w:szCs w:val="20"/>
          <w:lang w:val="en-GB"/>
        </w:rPr>
        <w:t>IDF targeted International Zone in response to unannounced visit by Trump</w:t>
      </w:r>
      <w:bookmarkEnd w:id="18"/>
    </w:p>
    <w:p w:rsidR="00715D4C" w:rsidRDefault="00715D4C" w:rsidP="00E30DE1">
      <w:pPr>
        <w:spacing w:line="276" w:lineRule="auto"/>
        <w:jc w:val="both"/>
      </w:pPr>
      <w:r>
        <w:t xml:space="preserve">Four rockets were fired towards the International Zone on December 27, with three impacting inside the zone without causing any casualties or damage.  The attacks were almost certainly carried out by Shia militia factions in response to President Trump’s brief visit to Iraq which was met with strong reactions from pro-Iranian factions. </w:t>
      </w:r>
    </w:p>
    <w:p w:rsidR="00715D4C" w:rsidRPr="0086543C" w:rsidRDefault="00715D4C" w:rsidP="0086543C">
      <w:pPr>
        <w:keepNext/>
        <w:keepLines/>
        <w:spacing w:before="200" w:line="276" w:lineRule="auto"/>
        <w:outlineLvl w:val="1"/>
        <w:rPr>
          <w:rFonts w:eastAsia="Times New Roman" w:cs="Arial"/>
          <w:b/>
          <w:bCs/>
          <w:color w:val="E42313"/>
          <w:sz w:val="24"/>
          <w:szCs w:val="20"/>
          <w:lang w:val="en-GB"/>
        </w:rPr>
      </w:pPr>
      <w:bookmarkStart w:id="19" w:name="_Toc533875456"/>
      <w:r w:rsidRPr="0086543C">
        <w:rPr>
          <w:rFonts w:eastAsia="Times New Roman" w:cs="Arial"/>
          <w:b/>
          <w:bCs/>
          <w:color w:val="E42313"/>
          <w:sz w:val="24"/>
          <w:szCs w:val="20"/>
          <w:lang w:val="en-GB"/>
        </w:rPr>
        <w:t>US withdrawal from Syria prompts envoy resignation and signs of shifting allegiances</w:t>
      </w:r>
      <w:bookmarkEnd w:id="19"/>
    </w:p>
    <w:p w:rsidR="0086543C" w:rsidRPr="0086543C" w:rsidRDefault="00715D4C" w:rsidP="0086543C">
      <w:pPr>
        <w:spacing w:line="276" w:lineRule="auto"/>
        <w:jc w:val="both"/>
        <w:rPr>
          <w:rFonts w:cs="Arial"/>
          <w:szCs w:val="20"/>
        </w:rPr>
      </w:pPr>
      <w:r>
        <w:rPr>
          <w:rFonts w:cs="Arial"/>
          <w:szCs w:val="20"/>
        </w:rPr>
        <w:t xml:space="preserve">Brett McGurk, the US Presidential Envoy to the Global Coalition against ISIS, </w:t>
      </w:r>
      <w:proofErr w:type="gramStart"/>
      <w:r>
        <w:rPr>
          <w:rFonts w:cs="Arial"/>
          <w:szCs w:val="20"/>
        </w:rPr>
        <w:t>tendered his resignation</w:t>
      </w:r>
      <w:proofErr w:type="gramEnd"/>
      <w:r>
        <w:rPr>
          <w:rFonts w:cs="Arial"/>
          <w:szCs w:val="20"/>
        </w:rPr>
        <w:t xml:space="preserve"> this week citing fundamental differences with Trump over his decision t</w:t>
      </w:r>
      <w:r w:rsidR="00215FA5">
        <w:rPr>
          <w:rFonts w:cs="Arial"/>
          <w:szCs w:val="20"/>
        </w:rPr>
        <w:t>o withdraw troops from Syria while</w:t>
      </w:r>
      <w:r>
        <w:rPr>
          <w:rFonts w:cs="Arial"/>
          <w:szCs w:val="20"/>
        </w:rPr>
        <w:t xml:space="preserve"> claiming </w:t>
      </w:r>
      <w:r w:rsidR="0086543C">
        <w:rPr>
          <w:rFonts w:cs="Arial"/>
          <w:szCs w:val="20"/>
        </w:rPr>
        <w:t xml:space="preserve">senior officials had not been briefed on the decision.  Later in the week, in an apparent response to the US withdrawal, a US-backed Kurdish ally in northern Syria invited Syrian government forces to enter areas controlled by the group to provide protection against Turkey. </w:t>
      </w:r>
    </w:p>
    <w:p w:rsidR="0086543C" w:rsidRPr="0086543C" w:rsidRDefault="0086543C" w:rsidP="0086543C">
      <w:pPr>
        <w:keepNext/>
        <w:keepLines/>
        <w:spacing w:before="200" w:line="276" w:lineRule="auto"/>
        <w:outlineLvl w:val="1"/>
        <w:rPr>
          <w:rFonts w:eastAsia="Times New Roman" w:cs="Arial"/>
          <w:b/>
          <w:bCs/>
          <w:color w:val="E42313"/>
          <w:sz w:val="24"/>
          <w:szCs w:val="20"/>
          <w:lang w:val="en-GB"/>
        </w:rPr>
      </w:pPr>
      <w:bookmarkStart w:id="20" w:name="_Toc533875457"/>
      <w:r w:rsidRPr="0086543C">
        <w:rPr>
          <w:rFonts w:eastAsia="Times New Roman" w:cs="Arial"/>
          <w:b/>
          <w:bCs/>
          <w:color w:val="E42313"/>
          <w:sz w:val="24"/>
          <w:szCs w:val="20"/>
          <w:lang w:val="en-GB"/>
        </w:rPr>
        <w:t>Two new ministers approved by Parliament; three remaining</w:t>
      </w:r>
      <w:bookmarkEnd w:id="20"/>
    </w:p>
    <w:p w:rsidR="0086543C" w:rsidRPr="0086543C" w:rsidRDefault="0086543C" w:rsidP="0086543C">
      <w:pPr>
        <w:spacing w:line="276" w:lineRule="auto"/>
        <w:jc w:val="both"/>
        <w:rPr>
          <w:rFonts w:cs="Arial"/>
          <w:szCs w:val="20"/>
        </w:rPr>
      </w:pPr>
      <w:r>
        <w:rPr>
          <w:rFonts w:cs="Arial"/>
          <w:szCs w:val="20"/>
        </w:rPr>
        <w:t xml:space="preserve">On December 24, Parliament voted to approve two more candidates for the remaining cabinet positions.  </w:t>
      </w:r>
      <w:proofErr w:type="spellStart"/>
      <w:r>
        <w:rPr>
          <w:rFonts w:cs="Arial"/>
          <w:szCs w:val="20"/>
        </w:rPr>
        <w:t>Nawfal</w:t>
      </w:r>
      <w:proofErr w:type="spellEnd"/>
      <w:r>
        <w:rPr>
          <w:rFonts w:cs="Arial"/>
          <w:szCs w:val="20"/>
        </w:rPr>
        <w:t xml:space="preserve"> </w:t>
      </w:r>
      <w:proofErr w:type="spellStart"/>
      <w:r>
        <w:rPr>
          <w:rFonts w:cs="Arial"/>
          <w:szCs w:val="20"/>
        </w:rPr>
        <w:t>Bahaa</w:t>
      </w:r>
      <w:proofErr w:type="spellEnd"/>
      <w:r>
        <w:rPr>
          <w:rFonts w:cs="Arial"/>
          <w:szCs w:val="20"/>
        </w:rPr>
        <w:t xml:space="preserve"> Moussa was elected as Minister of Migration and Displacement while </w:t>
      </w:r>
      <w:proofErr w:type="spellStart"/>
      <w:r>
        <w:rPr>
          <w:rFonts w:cs="Arial"/>
          <w:szCs w:val="20"/>
        </w:rPr>
        <w:t>Shaima</w:t>
      </w:r>
      <w:proofErr w:type="spellEnd"/>
      <w:r>
        <w:rPr>
          <w:rFonts w:cs="Arial"/>
          <w:szCs w:val="20"/>
        </w:rPr>
        <w:t xml:space="preserve"> Khalil al-</w:t>
      </w:r>
      <w:proofErr w:type="spellStart"/>
      <w:r>
        <w:rPr>
          <w:rFonts w:cs="Arial"/>
          <w:szCs w:val="20"/>
        </w:rPr>
        <w:t>Hayali</w:t>
      </w:r>
      <w:proofErr w:type="spellEnd"/>
      <w:r>
        <w:rPr>
          <w:rFonts w:cs="Arial"/>
          <w:szCs w:val="20"/>
        </w:rPr>
        <w:t xml:space="preserve"> was approved as Minister of Education; Defence Minister nominee Faysal al-</w:t>
      </w:r>
      <w:proofErr w:type="spellStart"/>
      <w:r>
        <w:rPr>
          <w:rFonts w:cs="Arial"/>
          <w:szCs w:val="20"/>
        </w:rPr>
        <w:t>Jarba</w:t>
      </w:r>
      <w:proofErr w:type="spellEnd"/>
      <w:r>
        <w:rPr>
          <w:rFonts w:cs="Arial"/>
          <w:szCs w:val="20"/>
        </w:rPr>
        <w:t xml:space="preserve"> was again rejected in a vote.  </w:t>
      </w:r>
      <w:proofErr w:type="spellStart"/>
      <w:r>
        <w:rPr>
          <w:rFonts w:cs="Arial"/>
          <w:szCs w:val="20"/>
        </w:rPr>
        <w:t>Sairun</w:t>
      </w:r>
      <w:proofErr w:type="spellEnd"/>
      <w:r>
        <w:rPr>
          <w:rFonts w:cs="Arial"/>
          <w:szCs w:val="20"/>
        </w:rPr>
        <w:t xml:space="preserve"> MPs walked out of the session before a vote on the Ministry of Interior could be held, thereby breaking quorum and postponing the vote</w:t>
      </w:r>
      <w:r w:rsidR="00281409">
        <w:rPr>
          <w:rFonts w:cs="Arial"/>
          <w:szCs w:val="20"/>
        </w:rPr>
        <w:t>.</w:t>
      </w:r>
    </w:p>
    <w:p w:rsidR="00715D4C" w:rsidRDefault="00715D4C" w:rsidP="00E30DE1">
      <w:pPr>
        <w:spacing w:line="276" w:lineRule="auto"/>
        <w:jc w:val="both"/>
      </w:pPr>
    </w:p>
    <w:p w:rsidR="00B049AA" w:rsidRDefault="00B049AA" w:rsidP="00B049AA">
      <w:pPr>
        <w:spacing w:line="276" w:lineRule="auto"/>
        <w:jc w:val="both"/>
      </w:pPr>
    </w:p>
    <w:p w:rsidR="00B049AA" w:rsidRDefault="00B049AA" w:rsidP="00B049AA">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33875458"/>
      <w:r w:rsidRPr="00DD670C">
        <w:rPr>
          <w:rFonts w:eastAsia="SimSun" w:cs="Arial"/>
          <w:caps/>
          <w:color w:val="FFFFFF"/>
          <w:spacing w:val="15"/>
          <w:sz w:val="28"/>
          <w:szCs w:val="26"/>
          <w:lang w:eastAsia="ja-JP"/>
        </w:rPr>
        <w:t>THREAT MATRIX</w:t>
      </w:r>
      <w:bookmarkEnd w:id="21"/>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22" w:name="_Toc509480743"/>
      <w:bookmarkStart w:id="23" w:name="_Toc493677842"/>
      <w:r w:rsidR="00990358">
        <w:br w:type="page"/>
      </w:r>
    </w:p>
    <w:p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4" w:name="_Toc533875459"/>
      <w:r>
        <w:rPr>
          <w:rFonts w:eastAsia="SimSun" w:cs="Arial"/>
          <w:caps/>
          <w:color w:val="FFFFFF"/>
          <w:spacing w:val="15"/>
          <w:sz w:val="28"/>
          <w:szCs w:val="26"/>
          <w:lang w:eastAsia="ja-JP"/>
        </w:rPr>
        <w:lastRenderedPageBreak/>
        <w:t>OVERVIEW</w:t>
      </w:r>
      <w:bookmarkEnd w:id="24"/>
    </w:p>
    <w:p w:rsidR="003B2DEA" w:rsidRDefault="007E32FA" w:rsidP="007058CA">
      <w:pPr>
        <w:pStyle w:val="H2RAMReport"/>
        <w:rPr>
          <w:lang w:val="en-GB"/>
        </w:rPr>
      </w:pPr>
      <w:bookmarkStart w:id="25" w:name="_Toc533875460"/>
      <w:bookmarkEnd w:id="22"/>
      <w:r>
        <w:rPr>
          <w:lang w:val="en-GB"/>
        </w:rPr>
        <w:t>National/Regional</w:t>
      </w:r>
      <w:bookmarkEnd w:id="25"/>
    </w:p>
    <w:p w:rsidR="003B2DEA" w:rsidRDefault="003B2DEA" w:rsidP="00A957F5">
      <w:pPr>
        <w:spacing w:line="276" w:lineRule="auto"/>
        <w:jc w:val="both"/>
        <w:rPr>
          <w:rFonts w:cs="Arial"/>
          <w:b/>
          <w:bCs/>
          <w:szCs w:val="20"/>
        </w:rPr>
      </w:pPr>
      <w:bookmarkStart w:id="26" w:name="_Hlk530814202"/>
      <w:bookmarkStart w:id="27" w:name="_Hlk529604388"/>
      <w:bookmarkStart w:id="28" w:name="_Hlk530209415"/>
      <w:bookmarkStart w:id="29" w:name="_Hlk531422356"/>
    </w:p>
    <w:p w:rsidR="00A957F5" w:rsidRDefault="00A957F5" w:rsidP="00A957F5">
      <w:pPr>
        <w:spacing w:line="276" w:lineRule="auto"/>
        <w:jc w:val="both"/>
        <w:rPr>
          <w:rFonts w:cs="Arial"/>
          <w:b/>
          <w:bCs/>
          <w:szCs w:val="20"/>
        </w:rPr>
      </w:pPr>
      <w:r>
        <w:rPr>
          <w:rFonts w:cs="Arial"/>
          <w:b/>
          <w:bCs/>
          <w:szCs w:val="20"/>
        </w:rPr>
        <w:t>IDF targeted International Zone in response to unannounced visit by Trump</w:t>
      </w:r>
    </w:p>
    <w:p w:rsidR="003B2DEA" w:rsidRDefault="00A957F5" w:rsidP="00A957F5">
      <w:pPr>
        <w:spacing w:line="276" w:lineRule="auto"/>
        <w:jc w:val="both"/>
        <w:rPr>
          <w:rFonts w:cs="Arial"/>
          <w:szCs w:val="20"/>
        </w:rPr>
      </w:pPr>
      <w:r>
        <w:rPr>
          <w:rFonts w:cs="Arial"/>
          <w:szCs w:val="20"/>
        </w:rPr>
        <w:t>At approximately 05:20hrs on December 27, four rockets were fired towards the International Zone (IZ), likely targeting the US Embassy, with three impacting within the IZ and one outs</w:t>
      </w:r>
      <w:r w:rsidR="00281409">
        <w:rPr>
          <w:rFonts w:cs="Arial"/>
          <w:szCs w:val="20"/>
        </w:rPr>
        <w:t>ide; the exact points of impact and origin</w:t>
      </w:r>
      <w:r>
        <w:rPr>
          <w:rFonts w:cs="Arial"/>
          <w:szCs w:val="20"/>
        </w:rPr>
        <w:t xml:space="preserve"> remain subject to conflicting reports.  </w:t>
      </w:r>
      <w:r w:rsidR="00281409">
        <w:rPr>
          <w:rFonts w:cs="Arial"/>
          <w:szCs w:val="20"/>
        </w:rPr>
        <w:t>Credible reports</w:t>
      </w:r>
      <w:r>
        <w:rPr>
          <w:rFonts w:cs="Arial"/>
          <w:szCs w:val="20"/>
        </w:rPr>
        <w:t xml:space="preserve"> however claim the rockets were fired from two separate locations in Baghdad City, including the districts of Karkh and New Baghdad (west and east of IZ), and</w:t>
      </w:r>
      <w:r w:rsidR="00281409">
        <w:rPr>
          <w:rFonts w:cs="Arial"/>
          <w:szCs w:val="20"/>
        </w:rPr>
        <w:t xml:space="preserve"> that 107mm rockets were used, with </w:t>
      </w:r>
      <w:r>
        <w:rPr>
          <w:rFonts w:cs="Arial"/>
          <w:szCs w:val="20"/>
        </w:rPr>
        <w:t>no casualties or damage reported. The attacks are a likely response to US President Trump’s unannounced visit to Ain al-</w:t>
      </w:r>
      <w:proofErr w:type="spellStart"/>
      <w:r>
        <w:rPr>
          <w:rFonts w:cs="Arial"/>
          <w:szCs w:val="20"/>
        </w:rPr>
        <w:t>Asad</w:t>
      </w:r>
      <w:proofErr w:type="spellEnd"/>
      <w:r>
        <w:rPr>
          <w:rFonts w:cs="Arial"/>
          <w:szCs w:val="20"/>
        </w:rPr>
        <w:t xml:space="preserve"> airbase, Anbar province, late on December 26 where he told reporters that US troops would remain in the country and may use its presence along the border with Syria to “strike our enemies in the region”.  This was met with condemnation from some militia leaders and PMU-affiliated representatives, with </w:t>
      </w:r>
      <w:proofErr w:type="spellStart"/>
      <w:r>
        <w:rPr>
          <w:rFonts w:cs="Arial"/>
          <w:szCs w:val="20"/>
        </w:rPr>
        <w:t>Kata’ib</w:t>
      </w:r>
      <w:proofErr w:type="spellEnd"/>
      <w:r>
        <w:rPr>
          <w:rFonts w:cs="Arial"/>
          <w:szCs w:val="20"/>
        </w:rPr>
        <w:t xml:space="preserve"> Hezbollah and Asaib </w:t>
      </w:r>
      <w:proofErr w:type="spellStart"/>
      <w:r>
        <w:rPr>
          <w:rFonts w:cs="Arial"/>
          <w:szCs w:val="20"/>
        </w:rPr>
        <w:t>ahl</w:t>
      </w:r>
      <w:proofErr w:type="spellEnd"/>
      <w:r>
        <w:rPr>
          <w:rFonts w:cs="Arial"/>
          <w:szCs w:val="20"/>
        </w:rPr>
        <w:t xml:space="preserve"> al-Haq both issuing statements saying they will ‘force the US to withdraw’ by force if necessary.  It is therefore highly likely that the rockets were fired by militia factions aligned with pro-Iranian elements to back up the hostile rhetoric and make a political statement</w:t>
      </w:r>
      <w:r w:rsidR="003B2DEA">
        <w:rPr>
          <w:rFonts w:cs="Arial"/>
          <w:szCs w:val="20"/>
        </w:rPr>
        <w:t xml:space="preserve">.  </w:t>
      </w:r>
    </w:p>
    <w:p w:rsidR="003B2DEA" w:rsidRDefault="003B2DEA" w:rsidP="00A957F5">
      <w:pPr>
        <w:spacing w:line="276" w:lineRule="auto"/>
        <w:jc w:val="both"/>
        <w:rPr>
          <w:rFonts w:cs="Arial"/>
          <w:szCs w:val="20"/>
        </w:rPr>
      </w:pPr>
    </w:p>
    <w:p w:rsidR="00A957F5" w:rsidRDefault="003B2DEA" w:rsidP="00A957F5">
      <w:pPr>
        <w:spacing w:line="276" w:lineRule="auto"/>
        <w:jc w:val="both"/>
        <w:rPr>
          <w:rFonts w:cs="Arial"/>
          <w:szCs w:val="20"/>
        </w:rPr>
      </w:pPr>
      <w:r>
        <w:rPr>
          <w:rFonts w:cs="Arial"/>
          <w:szCs w:val="20"/>
        </w:rPr>
        <w:t>In response, t</w:t>
      </w:r>
      <w:r w:rsidR="00A957F5">
        <w:rPr>
          <w:rFonts w:cs="Arial"/>
          <w:szCs w:val="20"/>
        </w:rPr>
        <w:t>he office of Prime Minister Abdul Mahdi issued a statement clarifying that the GoI had prior knowledge of Trump’s visit which it said came to congratulate the new Iraqi government and the international coalition on its success in fighting IS.  The statement added that the request for a visit had been approved by the GoI and that a meeting had been scheduled between the two but cancelled in the last minute due to a disagreement over where to meet, with Trump</w:t>
      </w:r>
      <w:r w:rsidR="00281409">
        <w:rPr>
          <w:rFonts w:cs="Arial"/>
          <w:szCs w:val="20"/>
        </w:rPr>
        <w:t xml:space="preserve"> reportedly declining a request</w:t>
      </w:r>
      <w:r w:rsidR="00A957F5">
        <w:rPr>
          <w:rFonts w:cs="Arial"/>
          <w:szCs w:val="20"/>
        </w:rPr>
        <w:t xml:space="preserve"> to meet </w:t>
      </w:r>
      <w:r w:rsidR="00281409">
        <w:rPr>
          <w:rFonts w:cs="Arial"/>
          <w:szCs w:val="20"/>
        </w:rPr>
        <w:t>in</w:t>
      </w:r>
      <w:r w:rsidR="00A957F5">
        <w:rPr>
          <w:rFonts w:cs="Arial"/>
          <w:szCs w:val="20"/>
        </w:rPr>
        <w:t xml:space="preserve"> Baghdad.  The two leaders instead spoke on the phone, pledging to strengthen relations and to continue cooperating on mutual security issues.  Trump, who reportedly left without meeting any Iraqi officials, also received an invitation to come to Baghdad while extending a similar invitation </w:t>
      </w:r>
      <w:r w:rsidR="00183FD4">
        <w:rPr>
          <w:rFonts w:cs="Arial"/>
          <w:szCs w:val="20"/>
        </w:rPr>
        <w:t>to Mahdi to come to Washington.</w:t>
      </w:r>
    </w:p>
    <w:p w:rsidR="00A957F5" w:rsidRDefault="00A957F5" w:rsidP="00E30DE1">
      <w:pPr>
        <w:spacing w:line="276" w:lineRule="auto"/>
        <w:jc w:val="both"/>
        <w:rPr>
          <w:rFonts w:cs="Arial"/>
          <w:bCs/>
          <w:szCs w:val="20"/>
        </w:rPr>
      </w:pPr>
    </w:p>
    <w:p w:rsidR="00A957F5" w:rsidRPr="003B2DEA" w:rsidRDefault="00A957F5" w:rsidP="00E30DE1">
      <w:pPr>
        <w:spacing w:line="276" w:lineRule="auto"/>
        <w:jc w:val="both"/>
        <w:rPr>
          <w:rFonts w:cs="Arial"/>
          <w:b/>
          <w:bCs/>
          <w:szCs w:val="20"/>
          <w:u w:val="single"/>
        </w:rPr>
      </w:pPr>
      <w:r>
        <w:rPr>
          <w:rFonts w:cs="Arial"/>
          <w:szCs w:val="20"/>
        </w:rPr>
        <w:t xml:space="preserve">In the days after the visit, senior party members and influential leaders continued to criticise the US’ role in Iraq.  A statement issued by al-Fatah Alliance described the visit as a ‘flagrant and clear violation of diplomatic norms’ and said it ‘raised questions about the nature of the US military presence and its real objectives’, </w:t>
      </w:r>
      <w:r w:rsidR="00281409">
        <w:rPr>
          <w:rFonts w:cs="Arial"/>
          <w:szCs w:val="20"/>
        </w:rPr>
        <w:t xml:space="preserve">which </w:t>
      </w:r>
      <w:r>
        <w:rPr>
          <w:rFonts w:cs="Arial"/>
          <w:szCs w:val="20"/>
        </w:rPr>
        <w:t>pose</w:t>
      </w:r>
      <w:r w:rsidR="00281409">
        <w:rPr>
          <w:rFonts w:cs="Arial"/>
          <w:szCs w:val="20"/>
        </w:rPr>
        <w:t>s</w:t>
      </w:r>
      <w:r>
        <w:rPr>
          <w:rFonts w:cs="Arial"/>
          <w:szCs w:val="20"/>
        </w:rPr>
        <w:t xml:space="preserve"> a threat to the security of Iraq.  These sentiments were echoed by the State of Law coalition, which in a separate statement reaffirmed its rejection of ‘any foreign presence’ on Iraqi soil and said Trump’s visit ‘violated Iraqi sovereignty’.   In a separate statement, Asaib Ahl al-Haq leader </w:t>
      </w:r>
      <w:proofErr w:type="spellStart"/>
      <w:r>
        <w:rPr>
          <w:rFonts w:cs="Arial"/>
          <w:szCs w:val="20"/>
        </w:rPr>
        <w:t>Qais</w:t>
      </w:r>
      <w:proofErr w:type="spellEnd"/>
      <w:r>
        <w:rPr>
          <w:rFonts w:cs="Arial"/>
          <w:szCs w:val="20"/>
        </w:rPr>
        <w:t xml:space="preserve"> </w:t>
      </w:r>
      <w:proofErr w:type="spellStart"/>
      <w:r>
        <w:rPr>
          <w:rFonts w:cs="Arial"/>
          <w:szCs w:val="20"/>
        </w:rPr>
        <w:t>Khazali</w:t>
      </w:r>
      <w:proofErr w:type="spellEnd"/>
      <w:r>
        <w:rPr>
          <w:rFonts w:cs="Arial"/>
          <w:szCs w:val="20"/>
        </w:rPr>
        <w:t xml:space="preserve"> reiterated his previous assertion that US forces should be expelled from the country by the Army and PMUs, and that the purpose of the US’ presence is to de-stabilise Iraq. </w:t>
      </w:r>
    </w:p>
    <w:p w:rsidR="00281409" w:rsidRDefault="00281409" w:rsidP="00E30DE1">
      <w:pPr>
        <w:spacing w:line="276" w:lineRule="auto"/>
        <w:jc w:val="both"/>
        <w:rPr>
          <w:rFonts w:cs="Arial"/>
          <w:b/>
          <w:bCs/>
          <w:szCs w:val="20"/>
        </w:rPr>
      </w:pPr>
    </w:p>
    <w:p w:rsidR="00A957F5" w:rsidRDefault="00A957F5" w:rsidP="00E30DE1">
      <w:pPr>
        <w:spacing w:line="276" w:lineRule="auto"/>
        <w:jc w:val="both"/>
        <w:rPr>
          <w:rFonts w:cs="Arial"/>
          <w:b/>
          <w:bCs/>
          <w:szCs w:val="20"/>
        </w:rPr>
      </w:pPr>
      <w:r w:rsidRPr="00A957F5">
        <w:rPr>
          <w:rFonts w:cs="Arial"/>
          <w:b/>
          <w:bCs/>
          <w:szCs w:val="20"/>
        </w:rPr>
        <w:t>US withdrawal from Syria prompts envoy resignation and signs of shifting allegiances</w:t>
      </w:r>
    </w:p>
    <w:p w:rsidR="003B2DEA" w:rsidRDefault="003B2DEA" w:rsidP="003B2DEA">
      <w:pPr>
        <w:spacing w:line="276" w:lineRule="auto"/>
        <w:jc w:val="both"/>
        <w:rPr>
          <w:rFonts w:cs="Arial"/>
          <w:b/>
          <w:bCs/>
          <w:szCs w:val="20"/>
          <w:u w:val="single"/>
        </w:rPr>
      </w:pPr>
      <w:r>
        <w:rPr>
          <w:rFonts w:cs="Arial"/>
          <w:szCs w:val="20"/>
        </w:rPr>
        <w:t xml:space="preserve">Brett McGurk, the US Presidential Envoy to the Global Coalition against ISIS, </w:t>
      </w:r>
      <w:proofErr w:type="gramStart"/>
      <w:r>
        <w:rPr>
          <w:rFonts w:cs="Arial"/>
          <w:szCs w:val="20"/>
        </w:rPr>
        <w:t>tendered his resignation</w:t>
      </w:r>
      <w:proofErr w:type="gramEnd"/>
      <w:r>
        <w:rPr>
          <w:rFonts w:cs="Arial"/>
          <w:szCs w:val="20"/>
        </w:rPr>
        <w:t xml:space="preserve"> on December 21, thereby accelerating his departure from the position which was originally scheduled for February 2019.  McGurk reportedly cited fundamental disagreements with President Trump over the decision to withdraw US troops from Syria as the key reason for his resignation and echoed former </w:t>
      </w:r>
      <w:proofErr w:type="spellStart"/>
      <w:r>
        <w:rPr>
          <w:rFonts w:cs="Arial"/>
          <w:szCs w:val="20"/>
        </w:rPr>
        <w:t>SecDef</w:t>
      </w:r>
      <w:proofErr w:type="spellEnd"/>
      <w:r>
        <w:rPr>
          <w:rFonts w:cs="Arial"/>
          <w:szCs w:val="20"/>
        </w:rPr>
        <w:t xml:space="preserve"> James Mattis’ in expressing concerns about not honoring alliances and local partners. </w:t>
      </w:r>
      <w:r w:rsidR="00183FD4">
        <w:rPr>
          <w:rFonts w:cs="Arial"/>
          <w:b/>
          <w:bCs/>
          <w:szCs w:val="20"/>
          <w:u w:val="single"/>
        </w:rPr>
        <w:t xml:space="preserve"> </w:t>
      </w:r>
      <w:r w:rsidR="00281409">
        <w:rPr>
          <w:rFonts w:cs="Arial"/>
          <w:szCs w:val="20"/>
        </w:rPr>
        <w:t>Trump’s decision has also had repercussions on the ground in Syria.  I</w:t>
      </w:r>
      <w:r>
        <w:rPr>
          <w:rFonts w:cs="Arial"/>
          <w:szCs w:val="20"/>
        </w:rPr>
        <w:t>n a sign of switching alliances, the People’s Protection Units (YPG), a US-backed Kurdish group in northern Syria, issued a statement</w:t>
      </w:r>
      <w:r w:rsidR="00281409">
        <w:rPr>
          <w:rFonts w:cs="Arial"/>
          <w:szCs w:val="20"/>
        </w:rPr>
        <w:t xml:space="preserve"> on December 28</w:t>
      </w:r>
      <w:r>
        <w:rPr>
          <w:rFonts w:cs="Arial"/>
          <w:szCs w:val="20"/>
        </w:rPr>
        <w:t xml:space="preserve"> inviting Syrian Government Forces to enter areas under YPG control, including </w:t>
      </w:r>
      <w:proofErr w:type="spellStart"/>
      <w:r>
        <w:rPr>
          <w:rFonts w:cs="Arial"/>
          <w:szCs w:val="20"/>
        </w:rPr>
        <w:t>Manbij</w:t>
      </w:r>
      <w:proofErr w:type="spellEnd"/>
      <w:r>
        <w:rPr>
          <w:rFonts w:cs="Arial"/>
          <w:szCs w:val="20"/>
        </w:rPr>
        <w:t xml:space="preserve">, to ‘protect these areas against a Turkish invasion’. Syrian Government Forces later entered the district and raised the Syrian flag while a Syrian government spokesperson said they will now ensure the safety of all residents in the city and the surrounding districts. </w:t>
      </w:r>
    </w:p>
    <w:p w:rsidR="003B2DEA" w:rsidRDefault="003B2DEA" w:rsidP="00E30DE1">
      <w:pPr>
        <w:spacing w:line="276" w:lineRule="auto"/>
        <w:jc w:val="both"/>
        <w:rPr>
          <w:rFonts w:cs="Arial"/>
          <w:bCs/>
          <w:szCs w:val="20"/>
        </w:rPr>
      </w:pPr>
    </w:p>
    <w:p w:rsidR="00183FD4" w:rsidRDefault="00183FD4" w:rsidP="00E30DE1">
      <w:pPr>
        <w:spacing w:line="276" w:lineRule="auto"/>
        <w:jc w:val="both"/>
        <w:rPr>
          <w:rFonts w:cs="Arial"/>
          <w:bCs/>
          <w:szCs w:val="20"/>
        </w:rPr>
      </w:pPr>
    </w:p>
    <w:p w:rsidR="00183FD4" w:rsidRDefault="00183FD4" w:rsidP="00E30DE1">
      <w:pPr>
        <w:spacing w:line="276" w:lineRule="auto"/>
        <w:jc w:val="both"/>
        <w:rPr>
          <w:rFonts w:cs="Arial"/>
          <w:bCs/>
          <w:szCs w:val="20"/>
        </w:rPr>
      </w:pPr>
    </w:p>
    <w:p w:rsidR="00183FD4" w:rsidRDefault="00183FD4" w:rsidP="00E30DE1">
      <w:pPr>
        <w:spacing w:line="276" w:lineRule="auto"/>
        <w:jc w:val="both"/>
        <w:rPr>
          <w:rFonts w:cs="Arial"/>
          <w:bCs/>
          <w:szCs w:val="20"/>
        </w:rPr>
      </w:pPr>
    </w:p>
    <w:p w:rsidR="00183FD4" w:rsidRDefault="00183FD4" w:rsidP="00E30DE1">
      <w:pPr>
        <w:spacing w:line="276" w:lineRule="auto"/>
        <w:jc w:val="both"/>
        <w:rPr>
          <w:rFonts w:cs="Arial"/>
          <w:bCs/>
          <w:szCs w:val="20"/>
        </w:rPr>
      </w:pPr>
      <w:bookmarkStart w:id="30" w:name="_GoBack"/>
      <w:bookmarkEnd w:id="30"/>
    </w:p>
    <w:p w:rsidR="00183FD4" w:rsidRDefault="00183FD4" w:rsidP="00E30DE1">
      <w:pPr>
        <w:spacing w:line="276" w:lineRule="auto"/>
        <w:jc w:val="both"/>
        <w:rPr>
          <w:rFonts w:cs="Arial"/>
          <w:bCs/>
          <w:szCs w:val="20"/>
        </w:rPr>
      </w:pPr>
    </w:p>
    <w:p w:rsidR="00A957F5" w:rsidRDefault="00A957F5" w:rsidP="00E30DE1">
      <w:pPr>
        <w:spacing w:line="276" w:lineRule="auto"/>
        <w:jc w:val="both"/>
        <w:rPr>
          <w:rFonts w:cs="Arial"/>
          <w:b/>
          <w:bCs/>
          <w:szCs w:val="20"/>
        </w:rPr>
      </w:pPr>
      <w:r>
        <w:rPr>
          <w:rFonts w:cs="Arial"/>
          <w:b/>
          <w:bCs/>
          <w:szCs w:val="20"/>
        </w:rPr>
        <w:t>Two new ministers approved by Parliament; three remaining</w:t>
      </w:r>
    </w:p>
    <w:p w:rsidR="003B2DEA" w:rsidRPr="00183FD4" w:rsidRDefault="003B2DEA" w:rsidP="00E30DE1">
      <w:pPr>
        <w:spacing w:line="276" w:lineRule="auto"/>
        <w:jc w:val="both"/>
        <w:rPr>
          <w:rFonts w:cs="Arial"/>
          <w:b/>
          <w:bCs/>
          <w:szCs w:val="20"/>
          <w:u w:val="single"/>
        </w:rPr>
      </w:pPr>
      <w:r>
        <w:rPr>
          <w:rFonts w:cs="Arial"/>
          <w:szCs w:val="20"/>
        </w:rPr>
        <w:t xml:space="preserve">On December 24, Parliament voted to approve two more candidates for the remaining cabinet positions.  </w:t>
      </w:r>
      <w:proofErr w:type="spellStart"/>
      <w:r>
        <w:rPr>
          <w:rFonts w:cs="Arial"/>
          <w:szCs w:val="20"/>
        </w:rPr>
        <w:t>Nawfal</w:t>
      </w:r>
      <w:proofErr w:type="spellEnd"/>
      <w:r>
        <w:rPr>
          <w:rFonts w:cs="Arial"/>
          <w:szCs w:val="20"/>
        </w:rPr>
        <w:t xml:space="preserve"> </w:t>
      </w:r>
      <w:proofErr w:type="spellStart"/>
      <w:r>
        <w:rPr>
          <w:rFonts w:cs="Arial"/>
          <w:szCs w:val="20"/>
        </w:rPr>
        <w:t>Bahaa</w:t>
      </w:r>
      <w:proofErr w:type="spellEnd"/>
      <w:r>
        <w:rPr>
          <w:rFonts w:cs="Arial"/>
          <w:szCs w:val="20"/>
        </w:rPr>
        <w:t xml:space="preserve"> Moussa was elected as Minister of Migration and Displacement while </w:t>
      </w:r>
      <w:proofErr w:type="spellStart"/>
      <w:r>
        <w:rPr>
          <w:rFonts w:cs="Arial"/>
          <w:szCs w:val="20"/>
        </w:rPr>
        <w:t>Shaima</w:t>
      </w:r>
      <w:proofErr w:type="spellEnd"/>
      <w:r>
        <w:rPr>
          <w:rFonts w:cs="Arial"/>
          <w:szCs w:val="20"/>
        </w:rPr>
        <w:t xml:space="preserve"> Khalil al-</w:t>
      </w:r>
      <w:proofErr w:type="spellStart"/>
      <w:r>
        <w:rPr>
          <w:rFonts w:cs="Arial"/>
          <w:szCs w:val="20"/>
        </w:rPr>
        <w:t>Hayali</w:t>
      </w:r>
      <w:proofErr w:type="spellEnd"/>
      <w:r>
        <w:rPr>
          <w:rFonts w:cs="Arial"/>
          <w:szCs w:val="20"/>
        </w:rPr>
        <w:t xml:space="preserve"> was approved as Minister of Education; Defence Minister nominee Faysal al-</w:t>
      </w:r>
      <w:proofErr w:type="spellStart"/>
      <w:r>
        <w:rPr>
          <w:rFonts w:cs="Arial"/>
          <w:szCs w:val="20"/>
        </w:rPr>
        <w:t>Jarba</w:t>
      </w:r>
      <w:proofErr w:type="spellEnd"/>
      <w:r>
        <w:rPr>
          <w:rFonts w:cs="Arial"/>
          <w:szCs w:val="20"/>
        </w:rPr>
        <w:t xml:space="preserve"> was again rejected in a vote.  </w:t>
      </w:r>
      <w:proofErr w:type="spellStart"/>
      <w:r>
        <w:rPr>
          <w:rFonts w:cs="Arial"/>
          <w:szCs w:val="20"/>
        </w:rPr>
        <w:t>Sairun</w:t>
      </w:r>
      <w:proofErr w:type="spellEnd"/>
      <w:r>
        <w:rPr>
          <w:rFonts w:cs="Arial"/>
          <w:szCs w:val="20"/>
        </w:rPr>
        <w:t xml:space="preserve"> MPs walked out of the session before a vote on the Ministry of Interior could be held, thereby breaking quorum and postponing the vote. </w:t>
      </w:r>
    </w:p>
    <w:p w:rsidR="00A957F5" w:rsidRDefault="00A957F5" w:rsidP="00E30DE1">
      <w:pPr>
        <w:spacing w:line="276" w:lineRule="auto"/>
        <w:jc w:val="both"/>
        <w:rPr>
          <w:rFonts w:cs="Arial"/>
          <w:bCs/>
          <w:szCs w:val="20"/>
        </w:rPr>
      </w:pPr>
    </w:p>
    <w:p w:rsidR="00A957F5" w:rsidRDefault="00A957F5" w:rsidP="00A957F5">
      <w:pPr>
        <w:spacing w:line="276" w:lineRule="auto"/>
        <w:jc w:val="both"/>
        <w:rPr>
          <w:rFonts w:cs="Arial"/>
          <w:b/>
          <w:bCs/>
          <w:szCs w:val="20"/>
        </w:rPr>
      </w:pPr>
      <w:r>
        <w:rPr>
          <w:rFonts w:cs="Arial"/>
          <w:b/>
          <w:bCs/>
          <w:szCs w:val="20"/>
        </w:rPr>
        <w:t>Iran and Iraq signs MoU to continue energy cooperation</w:t>
      </w:r>
    </w:p>
    <w:p w:rsidR="00A957F5" w:rsidRDefault="00A957F5" w:rsidP="00A957F5">
      <w:pPr>
        <w:spacing w:line="276" w:lineRule="auto"/>
        <w:jc w:val="both"/>
        <w:rPr>
          <w:rFonts w:cs="Arial"/>
          <w:b/>
          <w:bCs/>
          <w:szCs w:val="20"/>
          <w:u w:val="single"/>
        </w:rPr>
      </w:pPr>
      <w:r>
        <w:rPr>
          <w:rFonts w:cs="Arial"/>
          <w:szCs w:val="20"/>
        </w:rPr>
        <w:t xml:space="preserve">In an apparent rebuke to US efforts to cut Iraqi ties with Iran on energy issues, the two countries signed a memorandum of understanding (MoU), pledging commitment to a ‘long-term framework’ for cooperation within various energy sectors, including electricity and gas imports.  The MoU was signed during a two-day visit by Iran’s Energy Minister Reza </w:t>
      </w:r>
      <w:proofErr w:type="spellStart"/>
      <w:r>
        <w:rPr>
          <w:rFonts w:cs="Arial"/>
          <w:szCs w:val="20"/>
        </w:rPr>
        <w:t>Ardakanian</w:t>
      </w:r>
      <w:proofErr w:type="spellEnd"/>
      <w:r>
        <w:rPr>
          <w:rFonts w:cs="Arial"/>
          <w:szCs w:val="20"/>
        </w:rPr>
        <w:t xml:space="preserve"> to Baghdad </w:t>
      </w:r>
      <w:r w:rsidR="00281409">
        <w:rPr>
          <w:rFonts w:cs="Arial"/>
          <w:szCs w:val="20"/>
        </w:rPr>
        <w:t xml:space="preserve">this week </w:t>
      </w:r>
      <w:r>
        <w:rPr>
          <w:rFonts w:cs="Arial"/>
          <w:szCs w:val="20"/>
        </w:rPr>
        <w:t xml:space="preserve">where he met with Electricity Minister </w:t>
      </w:r>
      <w:proofErr w:type="spellStart"/>
      <w:r>
        <w:rPr>
          <w:rFonts w:cs="Arial"/>
          <w:szCs w:val="20"/>
        </w:rPr>
        <w:t>Luay</w:t>
      </w:r>
      <w:proofErr w:type="spellEnd"/>
      <w:r>
        <w:rPr>
          <w:rFonts w:cs="Arial"/>
          <w:szCs w:val="20"/>
        </w:rPr>
        <w:t xml:space="preserve"> al-</w:t>
      </w:r>
      <w:proofErr w:type="spellStart"/>
      <w:r>
        <w:rPr>
          <w:rFonts w:cs="Arial"/>
          <w:szCs w:val="20"/>
        </w:rPr>
        <w:t>Khatteeb</w:t>
      </w:r>
      <w:proofErr w:type="spellEnd"/>
      <w:r>
        <w:rPr>
          <w:rFonts w:cs="Arial"/>
          <w:szCs w:val="20"/>
        </w:rPr>
        <w:t xml:space="preserve"> and Oil Minister Thamer al-</w:t>
      </w:r>
      <w:proofErr w:type="spellStart"/>
      <w:r>
        <w:rPr>
          <w:rFonts w:cs="Arial"/>
          <w:szCs w:val="20"/>
        </w:rPr>
        <w:t>Ghadhban</w:t>
      </w:r>
      <w:proofErr w:type="spellEnd"/>
      <w:r>
        <w:rPr>
          <w:rFonts w:cs="Arial"/>
          <w:szCs w:val="20"/>
        </w:rPr>
        <w:t xml:space="preserve">.  According to media reports, the MoU was confirmed by the Electricity Ministry and reportedly includes a series of pledges to develop and expand cooperation in various fields, including the exchange of expertise in production, transportation and distribution.  Crucially, the MoU stipulates a continued import of power and gas through next year. </w:t>
      </w:r>
    </w:p>
    <w:p w:rsidR="00A957F5" w:rsidRDefault="00A957F5" w:rsidP="00E30DE1">
      <w:pPr>
        <w:spacing w:line="276" w:lineRule="auto"/>
        <w:jc w:val="both"/>
        <w:rPr>
          <w:rFonts w:cs="Arial"/>
          <w:bCs/>
          <w:szCs w:val="20"/>
        </w:rPr>
      </w:pPr>
    </w:p>
    <w:p w:rsidR="00A957F5" w:rsidRDefault="00A957F5" w:rsidP="00A957F5">
      <w:pPr>
        <w:spacing w:line="276" w:lineRule="auto"/>
        <w:jc w:val="both"/>
        <w:rPr>
          <w:rFonts w:cs="Arial"/>
          <w:b/>
          <w:bCs/>
          <w:szCs w:val="20"/>
        </w:rPr>
      </w:pPr>
      <w:r>
        <w:rPr>
          <w:rFonts w:cs="Arial"/>
          <w:b/>
          <w:bCs/>
          <w:szCs w:val="20"/>
        </w:rPr>
        <w:t xml:space="preserve">Iran unveils plans to build railway connecting Tehran with Damascus </w:t>
      </w:r>
    </w:p>
    <w:bookmarkEnd w:id="23"/>
    <w:bookmarkEnd w:id="26"/>
    <w:bookmarkEnd w:id="27"/>
    <w:bookmarkEnd w:id="28"/>
    <w:p w:rsidR="00A957F5" w:rsidRDefault="00A957F5" w:rsidP="00A957F5">
      <w:pPr>
        <w:spacing w:line="276" w:lineRule="auto"/>
        <w:jc w:val="both"/>
        <w:rPr>
          <w:rFonts w:cs="Arial"/>
          <w:szCs w:val="20"/>
        </w:rPr>
      </w:pPr>
      <w:r>
        <w:rPr>
          <w:rFonts w:cs="Arial"/>
          <w:szCs w:val="20"/>
        </w:rPr>
        <w:t xml:space="preserve">Iranian officials unveiled a plan to build a moveable bridge across the Shat al-Arab River as part of a railway project linking the railway networks of Iran with Iraq and Syria.  Mohammed Mousavi, Director General of the Iranian Department of Railway and Technical Structures, was quoted by Iranian state media saying Tehran is currently evaluating the costs of the project but said work would likely commence shortly. Mousawi reportedly added that this would be a step in a wider regional project linking Tehran with Damascus via southern Iraq.  </w:t>
      </w:r>
    </w:p>
    <w:p w:rsidR="007E32FA" w:rsidRDefault="007E32FA" w:rsidP="00AE58E2">
      <w:pPr>
        <w:spacing w:line="276" w:lineRule="auto"/>
        <w:jc w:val="both"/>
        <w:rPr>
          <w:rFonts w:cs="Arial"/>
          <w:b/>
          <w:bCs/>
          <w:szCs w:val="20"/>
          <w:u w:val="single"/>
        </w:rPr>
      </w:pPr>
    </w:p>
    <w:p w:rsidR="00A957F5" w:rsidRDefault="00A957F5" w:rsidP="00AE58E2">
      <w:pPr>
        <w:spacing w:line="276" w:lineRule="auto"/>
        <w:jc w:val="both"/>
        <w:rPr>
          <w:rFonts w:cs="Arial"/>
          <w:b/>
          <w:bCs/>
          <w:szCs w:val="20"/>
          <w:u w:val="single"/>
        </w:rPr>
      </w:pPr>
    </w:p>
    <w:p w:rsidR="00DE2E4D" w:rsidRPr="00D528C7" w:rsidRDefault="00B049AA" w:rsidP="00D528C7">
      <w:pPr>
        <w:spacing w:after="200" w:line="276" w:lineRule="auto"/>
        <w:rPr>
          <w:rFonts w:eastAsiaTheme="majorEastAsia" w:cs="Arial"/>
          <w:b/>
          <w:bCs/>
          <w:color w:val="E42313"/>
          <w:sz w:val="24"/>
          <w:szCs w:val="26"/>
          <w:lang w:val="en-GB"/>
        </w:rPr>
      </w:pPr>
      <w:r>
        <w:rPr>
          <w:lang w:val="en-GB"/>
        </w:rPr>
        <w:br w:type="page"/>
      </w:r>
    </w:p>
    <w:p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1" w:name="_Toc533875461"/>
      <w:bookmarkEnd w:id="29"/>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1"/>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32" w:name="_Toc533875462"/>
      <w:r w:rsidRPr="00DD670C">
        <w:rPr>
          <w:lang w:eastAsia="ja-JP"/>
        </w:rPr>
        <w:t>Countrywide Military/Secur</w:t>
      </w:r>
      <w:r w:rsidRPr="00DD670C">
        <w:rPr>
          <w:rStyle w:val="H2RAMReportChar"/>
        </w:rPr>
        <w:t>i</w:t>
      </w:r>
      <w:r w:rsidRPr="00DD670C">
        <w:rPr>
          <w:lang w:eastAsia="ja-JP"/>
        </w:rPr>
        <w:t>ty Situation</w:t>
      </w:r>
      <w:bookmarkEnd w:id="32"/>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576791" w:rsidRDefault="00576791" w:rsidP="00370985">
      <w:pPr>
        <w:spacing w:line="276" w:lineRule="auto"/>
        <w:jc w:val="both"/>
        <w:rPr>
          <w:rFonts w:cs="Arial"/>
          <w:bCs/>
          <w:color w:val="3C3B3B"/>
          <w:szCs w:val="20"/>
          <w:lang w:val="en-GB"/>
        </w:rPr>
      </w:pPr>
    </w:p>
    <w:p w:rsidR="00DD6128" w:rsidRDefault="00DD6128" w:rsidP="00DD6128">
      <w:pPr>
        <w:spacing w:line="276" w:lineRule="auto"/>
        <w:jc w:val="both"/>
        <w:rPr>
          <w:rFonts w:eastAsia="Times New Roman" w:cs="Arial"/>
          <w:b/>
          <w:bCs/>
          <w:szCs w:val="20"/>
          <w:u w:val="single"/>
          <w:lang w:eastAsia="en-GB"/>
        </w:rPr>
      </w:pPr>
      <w:r>
        <w:rPr>
          <w:rFonts w:cs="Arial"/>
          <w:szCs w:val="20"/>
          <w:lang w:val="en-GB" w:eastAsia="en-GB"/>
        </w:rPr>
        <w:t xml:space="preserve">The most notable incident in Nineveh province took place on December 25 when a VBIED detonated in central Tal Afar, killing two civilians and injuring 11 others.  The car was reportedly parked outside a busy café and ISIS claimed responsibility for the attack in a subsequent statement.  Tal Afar is home of a significant Christian minority and it </w:t>
      </w:r>
      <w:proofErr w:type="gramStart"/>
      <w:r>
        <w:rPr>
          <w:rFonts w:cs="Arial"/>
          <w:szCs w:val="20"/>
          <w:lang w:val="en-GB" w:eastAsia="en-GB"/>
        </w:rPr>
        <w:t>is</w:t>
      </w:r>
      <w:proofErr w:type="gramEnd"/>
      <w:r>
        <w:rPr>
          <w:rFonts w:cs="Arial"/>
          <w:szCs w:val="20"/>
          <w:lang w:val="en-GB" w:eastAsia="en-GB"/>
        </w:rPr>
        <w:t xml:space="preserve"> possible that the attack, which took place on Christmas eve, targeted a café</w:t>
      </w:r>
      <w:r w:rsidR="00281409">
        <w:rPr>
          <w:rFonts w:cs="Arial"/>
          <w:szCs w:val="20"/>
          <w:lang w:val="en-GB" w:eastAsia="en-GB"/>
        </w:rPr>
        <w:t xml:space="preserve"> frequently</w:t>
      </w:r>
      <w:r>
        <w:rPr>
          <w:rFonts w:cs="Arial"/>
          <w:szCs w:val="20"/>
          <w:lang w:val="en-GB" w:eastAsia="en-GB"/>
        </w:rPr>
        <w:t xml:space="preserve"> visited by Christians.  Separately, tensions in Sinjar district were elected this week following an incident involving Shia PMUs and Yazidi factions in the district.  </w:t>
      </w:r>
      <w:r>
        <w:rPr>
          <w:rFonts w:eastAsia="Times New Roman" w:cs="Arial"/>
          <w:szCs w:val="20"/>
          <w:lang w:eastAsia="en-GB"/>
        </w:rPr>
        <w:t xml:space="preserve">On December 23, Kurdish media reports claimed Badr affiliated PMU members ‘stormed’ the offices of the </w:t>
      </w:r>
      <w:proofErr w:type="spellStart"/>
      <w:r>
        <w:rPr>
          <w:rFonts w:eastAsia="Times New Roman" w:cs="Arial"/>
          <w:szCs w:val="20"/>
          <w:lang w:eastAsia="en-GB"/>
        </w:rPr>
        <w:t>Ezidxan</w:t>
      </w:r>
      <w:proofErr w:type="spellEnd"/>
      <w:r>
        <w:rPr>
          <w:rFonts w:eastAsia="Times New Roman" w:cs="Arial"/>
          <w:szCs w:val="20"/>
          <w:lang w:eastAsia="en-GB"/>
        </w:rPr>
        <w:t xml:space="preserve"> Protection Force (HPE) in Sinjar, disarming and arresting more than 20 HPE fighters.  The detainees were later released after HPE leaders threatened to respond with force if necessary.  </w:t>
      </w:r>
    </w:p>
    <w:p w:rsidR="00DD6128" w:rsidRDefault="00DD6128" w:rsidP="00DD6128">
      <w:pPr>
        <w:spacing w:line="276" w:lineRule="auto"/>
        <w:jc w:val="both"/>
        <w:rPr>
          <w:rFonts w:eastAsia="Times New Roman" w:cs="Arial"/>
          <w:b/>
          <w:bCs/>
          <w:szCs w:val="20"/>
          <w:u w:val="single"/>
          <w:lang w:eastAsia="en-GB"/>
        </w:rPr>
      </w:pPr>
    </w:p>
    <w:p w:rsidR="009A1E14" w:rsidRDefault="00DD6128" w:rsidP="00DD6128">
      <w:pPr>
        <w:spacing w:line="276" w:lineRule="auto"/>
        <w:jc w:val="both"/>
        <w:rPr>
          <w:rFonts w:eastAsia="Times New Roman" w:cs="Arial"/>
          <w:bCs/>
          <w:szCs w:val="20"/>
          <w:lang w:eastAsia="en-GB"/>
        </w:rPr>
      </w:pPr>
      <w:r>
        <w:rPr>
          <w:rFonts w:eastAsia="Times New Roman" w:cs="Arial"/>
          <w:bCs/>
          <w:szCs w:val="20"/>
          <w:lang w:eastAsia="en-GB"/>
        </w:rPr>
        <w:t>A relatively uneventful reporting peri</w:t>
      </w:r>
      <w:r w:rsidR="009A1E14">
        <w:rPr>
          <w:rFonts w:eastAsia="Times New Roman" w:cs="Arial"/>
          <w:bCs/>
          <w:szCs w:val="20"/>
          <w:lang w:eastAsia="en-GB"/>
        </w:rPr>
        <w:t>od was noted in Kirkuk province, again characterised by federal police operations targeting I</w:t>
      </w:r>
      <w:r w:rsidR="00DF23C0">
        <w:rPr>
          <w:rFonts w:eastAsia="Times New Roman" w:cs="Arial"/>
          <w:bCs/>
          <w:szCs w:val="20"/>
          <w:lang w:eastAsia="en-GB"/>
        </w:rPr>
        <w:t xml:space="preserve">S activity in Hawijah district.  As a result, </w:t>
      </w:r>
      <w:r w:rsidR="009A1E14">
        <w:rPr>
          <w:rFonts w:eastAsia="Times New Roman" w:cs="Arial"/>
          <w:bCs/>
          <w:szCs w:val="20"/>
          <w:lang w:eastAsia="en-GB"/>
        </w:rPr>
        <w:t>multiple militants</w:t>
      </w:r>
      <w:r w:rsidR="00DF23C0">
        <w:rPr>
          <w:rFonts w:eastAsia="Times New Roman" w:cs="Arial"/>
          <w:bCs/>
          <w:szCs w:val="20"/>
          <w:lang w:eastAsia="en-GB"/>
        </w:rPr>
        <w:t xml:space="preserve"> were reportedly </w:t>
      </w:r>
      <w:proofErr w:type="gramStart"/>
      <w:r w:rsidR="00DF23C0">
        <w:rPr>
          <w:rFonts w:eastAsia="Times New Roman" w:cs="Arial"/>
          <w:bCs/>
          <w:szCs w:val="20"/>
          <w:lang w:eastAsia="en-GB"/>
        </w:rPr>
        <w:t>arrested</w:t>
      </w:r>
      <w:proofErr w:type="gramEnd"/>
      <w:r w:rsidR="009A1E14">
        <w:rPr>
          <w:rFonts w:eastAsia="Times New Roman" w:cs="Arial"/>
          <w:bCs/>
          <w:szCs w:val="20"/>
          <w:lang w:eastAsia="en-GB"/>
        </w:rPr>
        <w:t xml:space="preserve"> and </w:t>
      </w:r>
      <w:r w:rsidR="00DF23C0">
        <w:rPr>
          <w:rFonts w:eastAsia="Times New Roman" w:cs="Arial"/>
          <w:bCs/>
          <w:szCs w:val="20"/>
          <w:lang w:eastAsia="en-GB"/>
        </w:rPr>
        <w:t>large numbers of</w:t>
      </w:r>
      <w:r w:rsidR="009A1E14">
        <w:rPr>
          <w:rFonts w:eastAsia="Times New Roman" w:cs="Arial"/>
          <w:bCs/>
          <w:szCs w:val="20"/>
          <w:lang w:eastAsia="en-GB"/>
        </w:rPr>
        <w:t xml:space="preserve"> explosives and weapons</w:t>
      </w:r>
      <w:r w:rsidR="00DF23C0">
        <w:rPr>
          <w:rFonts w:eastAsia="Times New Roman" w:cs="Arial"/>
          <w:bCs/>
          <w:szCs w:val="20"/>
          <w:lang w:eastAsia="en-GB"/>
        </w:rPr>
        <w:t xml:space="preserve"> seized</w:t>
      </w:r>
      <w:r w:rsidR="009A1E14">
        <w:rPr>
          <w:rFonts w:eastAsia="Times New Roman" w:cs="Arial"/>
          <w:bCs/>
          <w:szCs w:val="20"/>
          <w:lang w:eastAsia="en-GB"/>
        </w:rPr>
        <w:t xml:space="preserve"> in</w:t>
      </w:r>
      <w:r w:rsidR="00DF23C0">
        <w:rPr>
          <w:rFonts w:eastAsia="Times New Roman" w:cs="Arial"/>
          <w:bCs/>
          <w:szCs w:val="20"/>
          <w:lang w:eastAsia="en-GB"/>
        </w:rPr>
        <w:t xml:space="preserve"> the district during the week.  IS activity in the district remains relatively subdued in comparison to previous months.  </w:t>
      </w:r>
      <w:r w:rsidR="009A1E14">
        <w:rPr>
          <w:rFonts w:eastAsia="Times New Roman" w:cs="Arial"/>
          <w:bCs/>
          <w:szCs w:val="20"/>
          <w:lang w:eastAsia="en-GB"/>
        </w:rPr>
        <w:t xml:space="preserve">The most notable incident occurred in al-Rashad sub-district on December 25 when, in a series of apparently coordinated kidnappings, 14 civilians </w:t>
      </w:r>
      <w:r w:rsidR="00DF23C0">
        <w:rPr>
          <w:rFonts w:eastAsia="Times New Roman" w:cs="Arial"/>
          <w:bCs/>
          <w:szCs w:val="20"/>
          <w:lang w:eastAsia="en-GB"/>
        </w:rPr>
        <w:t xml:space="preserve">in total </w:t>
      </w:r>
      <w:r w:rsidR="009A1E14">
        <w:rPr>
          <w:rFonts w:eastAsia="Times New Roman" w:cs="Arial"/>
          <w:bCs/>
          <w:szCs w:val="20"/>
          <w:lang w:eastAsia="en-GB"/>
        </w:rPr>
        <w:t>were abducted</w:t>
      </w:r>
      <w:r w:rsidR="00DF23C0">
        <w:rPr>
          <w:rFonts w:eastAsia="Times New Roman" w:cs="Arial"/>
          <w:bCs/>
          <w:szCs w:val="20"/>
          <w:lang w:eastAsia="en-GB"/>
        </w:rPr>
        <w:t xml:space="preserve"> according to media reports</w:t>
      </w:r>
      <w:r w:rsidR="009A1E14">
        <w:rPr>
          <w:rFonts w:eastAsia="Times New Roman" w:cs="Arial"/>
          <w:bCs/>
          <w:szCs w:val="20"/>
          <w:lang w:eastAsia="en-GB"/>
        </w:rPr>
        <w:t xml:space="preserve">.  Separately, a UVIED detonated in Dibis district on December 28, injuring one civilian, however it is not clear whether the attack was carried out by IS or related to a local dispute, as is often the case in </w:t>
      </w:r>
      <w:r w:rsidR="009A1E14">
        <w:rPr>
          <w:rFonts w:eastAsia="Times New Roman" w:cs="Arial"/>
          <w:bCs/>
          <w:szCs w:val="20"/>
          <w:lang w:eastAsia="en-GB"/>
        </w:rPr>
        <w:lastRenderedPageBreak/>
        <w:t xml:space="preserve">the district.  </w:t>
      </w:r>
      <w:r w:rsidR="00DF23C0">
        <w:rPr>
          <w:rFonts w:eastAsia="Times New Roman" w:cs="Arial"/>
          <w:bCs/>
          <w:szCs w:val="20"/>
          <w:lang w:eastAsia="en-GB"/>
        </w:rPr>
        <w:t>Meanwhile, a</w:t>
      </w:r>
      <w:r w:rsidR="009A1E14">
        <w:rPr>
          <w:rFonts w:eastAsia="Times New Roman" w:cs="Arial"/>
          <w:bCs/>
          <w:szCs w:val="20"/>
          <w:lang w:eastAsia="en-GB"/>
        </w:rPr>
        <w:t xml:space="preserve"> report circulating by some media outlets that </w:t>
      </w:r>
      <w:proofErr w:type="gramStart"/>
      <w:r w:rsidR="009A1E14">
        <w:rPr>
          <w:rFonts w:eastAsia="Times New Roman" w:cs="Arial"/>
          <w:bCs/>
          <w:szCs w:val="20"/>
          <w:lang w:eastAsia="en-GB"/>
        </w:rPr>
        <w:t>local residents</w:t>
      </w:r>
      <w:proofErr w:type="gramEnd"/>
      <w:r w:rsidR="009A1E14">
        <w:rPr>
          <w:rFonts w:eastAsia="Times New Roman" w:cs="Arial"/>
          <w:bCs/>
          <w:szCs w:val="20"/>
          <w:lang w:eastAsia="en-GB"/>
        </w:rPr>
        <w:t xml:space="preserve"> repulsed an IS attack on December 26 </w:t>
      </w:r>
      <w:r w:rsidR="00DF23C0">
        <w:rPr>
          <w:rFonts w:eastAsia="Times New Roman" w:cs="Arial"/>
          <w:bCs/>
          <w:szCs w:val="20"/>
          <w:lang w:eastAsia="en-GB"/>
        </w:rPr>
        <w:t xml:space="preserve">in the district </w:t>
      </w:r>
      <w:r w:rsidR="009A1E14">
        <w:rPr>
          <w:rFonts w:eastAsia="Times New Roman" w:cs="Arial"/>
          <w:bCs/>
          <w:szCs w:val="20"/>
          <w:lang w:eastAsia="en-GB"/>
        </w:rPr>
        <w:t xml:space="preserve">was subsequently discredited. </w:t>
      </w:r>
      <w:r w:rsidR="00707049">
        <w:rPr>
          <w:rFonts w:eastAsia="Times New Roman" w:cs="Arial"/>
          <w:bCs/>
          <w:szCs w:val="20"/>
          <w:lang w:eastAsia="en-GB"/>
        </w:rPr>
        <w:t xml:space="preserve"> </w:t>
      </w:r>
      <w:r w:rsidR="009A1E14">
        <w:rPr>
          <w:rFonts w:eastAsia="Times New Roman" w:cs="Arial"/>
          <w:bCs/>
          <w:szCs w:val="20"/>
          <w:lang w:eastAsia="en-GB"/>
        </w:rPr>
        <w:t xml:space="preserve">A generally uneventful period was noted in Salah al-Din province, with most of the activity reported in the northern areas close to Kirkuk province and seemingly attributed to IS cells active in these areas.  Attacks included kidnappings, assassinations and roadside IED targeting civilians in line with typical incident trends in areas north of Baiji, Hamrin Mountains and Tuz Khourmatu.  ISF and PMU members affiliated with the Sadrist peace brigades also carried out security operations in the desert areas west of Samarra.  </w:t>
      </w:r>
    </w:p>
    <w:p w:rsidR="009A1E14" w:rsidRDefault="009A1E14" w:rsidP="00DD6128">
      <w:pPr>
        <w:spacing w:line="276" w:lineRule="auto"/>
        <w:jc w:val="both"/>
        <w:rPr>
          <w:rFonts w:eastAsia="Times New Roman" w:cs="Arial"/>
          <w:bCs/>
          <w:szCs w:val="20"/>
          <w:lang w:eastAsia="en-GB"/>
        </w:rPr>
      </w:pPr>
    </w:p>
    <w:p w:rsidR="00707049" w:rsidRDefault="009A1E14" w:rsidP="00707049">
      <w:pPr>
        <w:spacing w:line="276" w:lineRule="auto"/>
        <w:jc w:val="both"/>
        <w:rPr>
          <w:rFonts w:eastAsia="Times New Roman" w:cs="Arial"/>
          <w:b/>
          <w:bCs/>
          <w:szCs w:val="20"/>
          <w:u w:val="single"/>
          <w:lang w:eastAsia="en-GB"/>
        </w:rPr>
      </w:pPr>
      <w:r>
        <w:rPr>
          <w:rFonts w:cs="Arial"/>
          <w:szCs w:val="20"/>
          <w:lang w:val="en-GB" w:eastAsia="en-GB"/>
        </w:rPr>
        <w:t xml:space="preserve">As usual, </w:t>
      </w:r>
      <w:r w:rsidR="00707049">
        <w:rPr>
          <w:rFonts w:cs="Arial"/>
          <w:szCs w:val="20"/>
          <w:lang w:val="en-GB" w:eastAsia="en-GB"/>
        </w:rPr>
        <w:t>high activity levels were recorded in Diyala p</w:t>
      </w:r>
      <w:r w:rsidR="00DF23C0">
        <w:rPr>
          <w:rFonts w:cs="Arial"/>
          <w:szCs w:val="20"/>
          <w:lang w:val="en-GB" w:eastAsia="en-GB"/>
        </w:rPr>
        <w:t>rovince, most of which continue</w:t>
      </w:r>
      <w:r w:rsidR="00707049">
        <w:rPr>
          <w:rFonts w:cs="Arial"/>
          <w:szCs w:val="20"/>
          <w:lang w:val="en-GB" w:eastAsia="en-GB"/>
        </w:rPr>
        <w:t xml:space="preserve"> to centre on the Diyala River Valley between Baqubah and Muqdadiyah, and Khanaqin district.  Incidents in the river valley were recorded on a near daily basis and comprise SAF, kidnappings and occasional IDF targeting civilians and residential areas.  Multiple attacks were also reported in Khanaqin district, where violence remains driven by a combination of ethnic tensions and IS activity.  Most notable, two ISF members were wounded when IS militants assaulted a security checkpoint in </w:t>
      </w:r>
      <w:proofErr w:type="spellStart"/>
      <w:r w:rsidR="00707049">
        <w:rPr>
          <w:rFonts w:cs="Arial"/>
          <w:szCs w:val="20"/>
          <w:lang w:val="en-GB" w:eastAsia="en-GB"/>
        </w:rPr>
        <w:t>Bawa</w:t>
      </w:r>
      <w:proofErr w:type="spellEnd"/>
      <w:r w:rsidR="00707049">
        <w:rPr>
          <w:rFonts w:cs="Arial"/>
          <w:szCs w:val="20"/>
          <w:lang w:val="en-GB" w:eastAsia="en-GB"/>
        </w:rPr>
        <w:t xml:space="preserve"> </w:t>
      </w:r>
      <w:proofErr w:type="spellStart"/>
      <w:r w:rsidR="00707049">
        <w:rPr>
          <w:rFonts w:cs="Arial"/>
          <w:szCs w:val="20"/>
          <w:lang w:val="en-GB" w:eastAsia="en-GB"/>
        </w:rPr>
        <w:t>Majmud</w:t>
      </w:r>
      <w:proofErr w:type="spellEnd"/>
      <w:r w:rsidR="00707049">
        <w:rPr>
          <w:rFonts w:cs="Arial"/>
          <w:szCs w:val="20"/>
          <w:lang w:val="en-GB" w:eastAsia="en-GB"/>
        </w:rPr>
        <w:t xml:space="preserve"> region on December 22, an incident consistent with IS hit and run attacks in the areas.  In response, ISF conducted security operations and carried out airstrikes in different areas of the province, including the Hamrin Basin area and southern Khanaqin.  Multiple artillery strikes carried out by ISF were </w:t>
      </w:r>
      <w:r w:rsidR="00DF23C0">
        <w:rPr>
          <w:rFonts w:cs="Arial"/>
          <w:szCs w:val="20"/>
          <w:lang w:val="en-GB" w:eastAsia="en-GB"/>
        </w:rPr>
        <w:t>also reported  during the week while</w:t>
      </w:r>
      <w:r w:rsidR="00707049">
        <w:rPr>
          <w:rFonts w:cs="Arial"/>
          <w:szCs w:val="20"/>
          <w:lang w:val="en-GB" w:eastAsia="en-GB"/>
        </w:rPr>
        <w:t xml:space="preserve"> </w:t>
      </w:r>
      <w:r w:rsidR="00707049">
        <w:rPr>
          <w:rFonts w:eastAsia="Times New Roman" w:cs="Arial"/>
          <w:szCs w:val="20"/>
          <w:lang w:eastAsia="en-GB"/>
        </w:rPr>
        <w:t>a security operation</w:t>
      </w:r>
      <w:r w:rsidR="00DF23C0">
        <w:rPr>
          <w:rFonts w:eastAsia="Times New Roman" w:cs="Arial"/>
          <w:szCs w:val="20"/>
          <w:lang w:eastAsia="en-GB"/>
        </w:rPr>
        <w:t xml:space="preserve"> targeted IS presence</w:t>
      </w:r>
      <w:r w:rsidR="00707049">
        <w:rPr>
          <w:rFonts w:eastAsia="Times New Roman" w:cs="Arial"/>
          <w:szCs w:val="20"/>
          <w:lang w:eastAsia="en-GB"/>
        </w:rPr>
        <w:t xml:space="preserve"> in the </w:t>
      </w:r>
      <w:proofErr w:type="spellStart"/>
      <w:r w:rsidR="00707049">
        <w:rPr>
          <w:rFonts w:eastAsia="Times New Roman" w:cs="Arial"/>
          <w:szCs w:val="20"/>
          <w:lang w:eastAsia="en-GB"/>
        </w:rPr>
        <w:t>Waqin</w:t>
      </w:r>
      <w:proofErr w:type="spellEnd"/>
      <w:r w:rsidR="00707049">
        <w:rPr>
          <w:rFonts w:eastAsia="Times New Roman" w:cs="Arial"/>
          <w:szCs w:val="20"/>
          <w:lang w:eastAsia="en-GB"/>
        </w:rPr>
        <w:t xml:space="preserve"> basin of northern Diyala, following reports that an IS banner had been raised in the village of Had al-</w:t>
      </w:r>
      <w:proofErr w:type="spellStart"/>
      <w:r w:rsidR="00707049">
        <w:rPr>
          <w:rFonts w:eastAsia="Times New Roman" w:cs="Arial"/>
          <w:szCs w:val="20"/>
          <w:lang w:eastAsia="en-GB"/>
        </w:rPr>
        <w:t>Akhder</w:t>
      </w:r>
      <w:proofErr w:type="spellEnd"/>
      <w:r w:rsidR="00707049">
        <w:rPr>
          <w:rFonts w:eastAsia="Times New Roman" w:cs="Arial"/>
          <w:szCs w:val="20"/>
          <w:lang w:eastAsia="en-GB"/>
        </w:rPr>
        <w:t xml:space="preserve">.  One IS hideout was reportedly destroyed. </w:t>
      </w:r>
    </w:p>
    <w:p w:rsidR="007E32FA" w:rsidRPr="005816BF" w:rsidRDefault="007E32FA" w:rsidP="0033225C">
      <w:pPr>
        <w:spacing w:line="276" w:lineRule="auto"/>
        <w:jc w:val="both"/>
        <w:rPr>
          <w:rFonts w:cs="Arial"/>
          <w:szCs w:val="20"/>
          <w:lang w:val="en-GB" w:eastAsia="en-GB"/>
        </w:rPr>
      </w:pPr>
    </w:p>
    <w:p w:rsidR="0033225C" w:rsidRPr="005816BF" w:rsidRDefault="0033225C" w:rsidP="0033225C">
      <w:pPr>
        <w:spacing w:line="276" w:lineRule="auto"/>
        <w:jc w:val="both"/>
        <w:rPr>
          <w:rFonts w:cs="Arial"/>
          <w:szCs w:val="20"/>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5816BF" w:rsidRDefault="005816BF">
      <w:pPr>
        <w:spacing w:after="200" w:line="276" w:lineRule="auto"/>
        <w:rPr>
          <w:rFonts w:cs="Arial"/>
          <w:b/>
          <w:szCs w:val="20"/>
        </w:rPr>
      </w:pPr>
      <w:r>
        <w:rPr>
          <w:rFonts w:cs="Arial"/>
          <w:b/>
          <w:szCs w:val="20"/>
        </w:rPr>
        <w:br w:type="page"/>
      </w:r>
    </w:p>
    <w:p w:rsidR="003432D9" w:rsidRDefault="00C070BA" w:rsidP="00047CA4">
      <w:pPr>
        <w:spacing w:line="276" w:lineRule="auto"/>
        <w:jc w:val="both"/>
        <w:rPr>
          <w:rFonts w:cs="Arial"/>
          <w:b/>
          <w:szCs w:val="20"/>
        </w:rPr>
      </w:pPr>
      <w:r>
        <w:rPr>
          <w:rFonts w:cs="Arial"/>
          <w:b/>
          <w:szCs w:val="20"/>
        </w:rPr>
        <w:lastRenderedPageBreak/>
        <w:t>A</w:t>
      </w:r>
      <w:r w:rsidR="003432D9" w:rsidRPr="00DD670C">
        <w:rPr>
          <w:rFonts w:cs="Arial"/>
          <w:b/>
          <w:szCs w:val="20"/>
        </w:rPr>
        <w:t>nbar Province</w:t>
      </w:r>
    </w:p>
    <w:p w:rsidR="00047CA4" w:rsidRPr="00047CA4" w:rsidRDefault="00047CA4" w:rsidP="00047CA4">
      <w:pPr>
        <w:spacing w:line="276" w:lineRule="auto"/>
        <w:jc w:val="both"/>
        <w:rPr>
          <w:rFonts w:cs="Arial"/>
          <w:szCs w:val="20"/>
          <w:lang w:val="en-GB"/>
        </w:rPr>
      </w:pPr>
    </w:p>
    <w:p w:rsidR="003432D9" w:rsidRPr="00DD670C" w:rsidRDefault="003432D9" w:rsidP="005C4C14">
      <w:pPr>
        <w:pStyle w:val="02GWBodycopy"/>
        <w:jc w:val="center"/>
        <w:rPr>
          <w:rFonts w:cs="Arial"/>
        </w:rPr>
      </w:pPr>
      <w:bookmarkStart w:id="33" w:name="_Toc461257185"/>
      <w:bookmarkStart w:id="34" w:name="_Toc461261781"/>
      <w:bookmarkStart w:id="35" w:name="_Toc461785042"/>
      <w:bookmarkStart w:id="36" w:name="_Toc461868963"/>
      <w:bookmarkStart w:id="37" w:name="_Toc463640915"/>
      <w:bookmarkStart w:id="38" w:name="_Toc464304923"/>
      <w:bookmarkStart w:id="39" w:name="_Toc465530389"/>
      <w:bookmarkStart w:id="40" w:name="_Toc466736723"/>
      <w:bookmarkStart w:id="41" w:name="_Toc467342863"/>
      <w:bookmarkStart w:id="42" w:name="_Toc469143655"/>
      <w:bookmarkStart w:id="43" w:name="_Toc469747965"/>
      <w:bookmarkStart w:id="44" w:name="_Toc469748056"/>
      <w:bookmarkStart w:id="45" w:name="_Toc469748112"/>
      <w:bookmarkStart w:id="46" w:name="_Toc470351673"/>
      <w:bookmarkStart w:id="47" w:name="_Toc470351770"/>
      <w:bookmarkStart w:id="48" w:name="_Toc470964457"/>
      <w:bookmarkStart w:id="49" w:name="_Toc470964502"/>
      <w:bookmarkStart w:id="50" w:name="_Toc470964590"/>
      <w:bookmarkStart w:id="51" w:name="_Toc472177386"/>
      <w:bookmarkStart w:id="52" w:name="_Toc472177527"/>
      <w:bookmarkStart w:id="53" w:name="_Toc472780729"/>
      <w:bookmarkStart w:id="54" w:name="_Toc472783409"/>
      <w:bookmarkStart w:id="55"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3432D9" w:rsidRPr="00DD670C" w:rsidRDefault="00787C97" w:rsidP="005C4C14">
      <w:pPr>
        <w:pStyle w:val="02GWBodycopy"/>
        <w:jc w:val="center"/>
        <w:rPr>
          <w:rFonts w:eastAsia="MS PGothic" w:cs="Arial"/>
          <w:color w:val="auto"/>
        </w:rPr>
      </w:pPr>
      <w:bookmarkStart w:id="56" w:name="_Toc461261782"/>
      <w:bookmarkStart w:id="57" w:name="_Toc461785043"/>
      <w:bookmarkStart w:id="58" w:name="_Toc461868964"/>
      <w:bookmarkStart w:id="59" w:name="_Toc463640916"/>
      <w:bookmarkStart w:id="60" w:name="_Toc464304924"/>
      <w:bookmarkStart w:id="61" w:name="_Toc465530390"/>
      <w:bookmarkStart w:id="62" w:name="_Toc466736724"/>
      <w:bookmarkStart w:id="63" w:name="_Toc467342864"/>
      <w:bookmarkStart w:id="64" w:name="_Toc469143656"/>
      <w:bookmarkStart w:id="65" w:name="_Toc469747966"/>
      <w:bookmarkStart w:id="66" w:name="_Toc469748057"/>
      <w:bookmarkStart w:id="67" w:name="_Toc469748113"/>
      <w:bookmarkStart w:id="68" w:name="_Toc470351674"/>
      <w:bookmarkStart w:id="69" w:name="_Toc470351771"/>
      <w:bookmarkStart w:id="70" w:name="_Toc470964458"/>
      <w:bookmarkStart w:id="71" w:name="_Toc470964503"/>
      <w:bookmarkStart w:id="72" w:name="_Toc470964591"/>
      <w:bookmarkStart w:id="73" w:name="_Toc472177387"/>
      <w:bookmarkStart w:id="74" w:name="_Toc472177528"/>
      <w:bookmarkStart w:id="75" w:name="_Toc472780730"/>
      <w:bookmarkStart w:id="76"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491947" w:rsidRPr="00D23181" w:rsidRDefault="00491947" w:rsidP="00A8338B">
      <w:pPr>
        <w:pStyle w:val="02GWBodycopy"/>
        <w:rPr>
          <w:rFonts w:eastAsia="MS PGothic" w:cs="Arial"/>
          <w:szCs w:val="20"/>
        </w:rPr>
      </w:pPr>
    </w:p>
    <w:p w:rsidR="00EC6AE4" w:rsidRPr="00845C0E" w:rsidRDefault="00C35E9F" w:rsidP="00EB51AD">
      <w:pPr>
        <w:spacing w:line="276" w:lineRule="auto"/>
        <w:jc w:val="both"/>
        <w:rPr>
          <w:rFonts w:cs="Arial"/>
          <w:b/>
          <w:szCs w:val="20"/>
          <w:u w:val="single"/>
        </w:rPr>
      </w:pPr>
      <w:r>
        <w:rPr>
          <w:rFonts w:cs="Arial"/>
        </w:rPr>
        <w:t>Another relative</w:t>
      </w:r>
      <w:r w:rsidR="00B70618">
        <w:rPr>
          <w:rFonts w:cs="Arial"/>
        </w:rPr>
        <w:t xml:space="preserve">ly subdued reporting period was observed in Anbar province, with no significant attacks and few hostile incidents recorded overall.  On December 23, a VBIED was found and dismantled by ISF in </w:t>
      </w:r>
      <w:proofErr w:type="spellStart"/>
      <w:r w:rsidR="00B70618">
        <w:rPr>
          <w:rFonts w:cs="Arial"/>
        </w:rPr>
        <w:t>Suhaila</w:t>
      </w:r>
      <w:proofErr w:type="spellEnd"/>
      <w:r w:rsidR="00B70618">
        <w:rPr>
          <w:rFonts w:cs="Arial"/>
        </w:rPr>
        <w:t xml:space="preserve"> village, north of Hit, in the mid-Euphrates region.  Three civilians were also killed over the course of a tribal dispute in Haditha district on December 25.  Activity in western Anbar was otherwise characterised by ISF operations, including arrests and clearance operations around Qaim district near the Syria border.  </w:t>
      </w:r>
      <w:r w:rsidR="00FF3E41">
        <w:rPr>
          <w:rFonts w:cs="Arial"/>
        </w:rPr>
        <w:t xml:space="preserve">Further east, reporting around Ramadi and Fallujah districts comprised arrest operations targeting suspected criminality and terrorism, with no significant hostilities recorded.  Further south, ISF foiled an infiltration attempt in </w:t>
      </w:r>
      <w:proofErr w:type="spellStart"/>
      <w:r w:rsidR="00FF3E41">
        <w:rPr>
          <w:rFonts w:cs="Arial"/>
        </w:rPr>
        <w:t>Rahaliyah</w:t>
      </w:r>
      <w:proofErr w:type="spellEnd"/>
      <w:r w:rsidR="00FF3E41">
        <w:rPr>
          <w:rFonts w:cs="Arial"/>
        </w:rPr>
        <w:t xml:space="preserve"> district near Lake </w:t>
      </w:r>
      <w:proofErr w:type="spellStart"/>
      <w:r w:rsidR="00FF3E41">
        <w:rPr>
          <w:rFonts w:cs="Arial"/>
        </w:rPr>
        <w:t>Razzaza</w:t>
      </w:r>
      <w:proofErr w:type="spellEnd"/>
      <w:r w:rsidR="00FF3E41">
        <w:rPr>
          <w:rFonts w:cs="Arial"/>
        </w:rPr>
        <w:t xml:space="preserve">, where militants attempted to plant roadside IEDs on the main road between </w:t>
      </w:r>
      <w:proofErr w:type="spellStart"/>
      <w:r w:rsidR="00FF3E41">
        <w:rPr>
          <w:rFonts w:cs="Arial"/>
        </w:rPr>
        <w:t>Majjar</w:t>
      </w:r>
      <w:proofErr w:type="spellEnd"/>
      <w:r w:rsidR="00FF3E41">
        <w:rPr>
          <w:rFonts w:cs="Arial"/>
        </w:rPr>
        <w:t xml:space="preserve"> and </w:t>
      </w:r>
      <w:proofErr w:type="spellStart"/>
      <w:r w:rsidR="00FF3E41">
        <w:rPr>
          <w:rFonts w:cs="Arial"/>
        </w:rPr>
        <w:t>Rahaliyah</w:t>
      </w:r>
      <w:proofErr w:type="spellEnd"/>
      <w:r w:rsidR="00FF3E41">
        <w:rPr>
          <w:rFonts w:cs="Arial"/>
        </w:rPr>
        <w:t xml:space="preserve">.  </w:t>
      </w: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2131C2" w:rsidRDefault="002131C2">
      <w:pPr>
        <w:spacing w:after="200" w:line="276" w:lineRule="auto"/>
        <w:rPr>
          <w:rFonts w:cs="Arial"/>
          <w:b/>
          <w:szCs w:val="20"/>
        </w:rPr>
      </w:pPr>
      <w:r>
        <w:rPr>
          <w:rFonts w:cs="Arial"/>
          <w:b/>
          <w:szCs w:val="20"/>
        </w:rPr>
        <w:br w:type="page"/>
      </w: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7" w:name="_Toc461261784"/>
      <w:bookmarkStart w:id="78" w:name="_Toc461785045"/>
      <w:bookmarkStart w:id="79" w:name="_Toc461868966"/>
      <w:bookmarkStart w:id="80" w:name="_Toc463640918"/>
      <w:bookmarkStart w:id="81" w:name="_Toc464304926"/>
      <w:bookmarkStart w:id="82" w:name="_Toc465530392"/>
      <w:bookmarkStart w:id="83" w:name="_Toc466736726"/>
      <w:bookmarkStart w:id="84" w:name="_Toc467342866"/>
      <w:bookmarkStart w:id="85" w:name="_Toc469143658"/>
      <w:bookmarkStart w:id="86" w:name="_Toc469747968"/>
      <w:bookmarkStart w:id="87" w:name="_Toc469748059"/>
      <w:bookmarkStart w:id="88" w:name="_Toc469748115"/>
      <w:bookmarkStart w:id="89" w:name="_Toc470351676"/>
      <w:bookmarkStart w:id="90" w:name="_Toc470351773"/>
      <w:bookmarkStart w:id="91" w:name="_Toc470964460"/>
      <w:bookmarkStart w:id="92" w:name="_Toc470964505"/>
      <w:bookmarkStart w:id="93" w:name="_Toc470964593"/>
      <w:bookmarkStart w:id="94" w:name="_Toc472177389"/>
      <w:bookmarkStart w:id="95" w:name="_Toc472177530"/>
      <w:bookmarkStart w:id="96" w:name="_Toc472780732"/>
      <w:bookmarkStart w:id="97"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D54BDA" w:rsidRDefault="00D54BDA" w:rsidP="00D54BDA">
      <w:pPr>
        <w:spacing w:line="276" w:lineRule="auto"/>
        <w:rPr>
          <w:rFonts w:cs="Arial"/>
          <w:szCs w:val="20"/>
          <w:lang w:val="en-GB" w:eastAsia="en-GB"/>
        </w:rPr>
      </w:pPr>
    </w:p>
    <w:p w:rsidR="00DF23C0" w:rsidRDefault="00FF3E41" w:rsidP="00BC1EFF">
      <w:pPr>
        <w:spacing w:line="276" w:lineRule="auto"/>
        <w:jc w:val="both"/>
        <w:rPr>
          <w:rFonts w:eastAsia="Times New Roman" w:cs="Arial"/>
          <w:szCs w:val="20"/>
        </w:rPr>
      </w:pPr>
      <w:proofErr w:type="gramStart"/>
      <w:r>
        <w:rPr>
          <w:rFonts w:eastAsia="Calibri" w:cs="Arial"/>
          <w:szCs w:val="20"/>
          <w:lang w:val="en-GB" w:eastAsia="en-GB"/>
        </w:rPr>
        <w:t>With the exception of</w:t>
      </w:r>
      <w:proofErr w:type="gramEnd"/>
      <w:r>
        <w:rPr>
          <w:rFonts w:eastAsia="Calibri" w:cs="Arial"/>
          <w:szCs w:val="20"/>
          <w:lang w:val="en-GB" w:eastAsia="en-GB"/>
        </w:rPr>
        <w:t xml:space="preserve"> the IDF attacks targeting the International Zone on December 27 (see </w:t>
      </w:r>
      <w:r w:rsidR="00DF23C0">
        <w:rPr>
          <w:rFonts w:eastAsia="Calibri" w:cs="Arial"/>
          <w:szCs w:val="20"/>
          <w:lang w:val="en-GB" w:eastAsia="en-GB"/>
        </w:rPr>
        <w:t>National Reporting</w:t>
      </w:r>
      <w:r>
        <w:rPr>
          <w:rFonts w:eastAsia="Calibri" w:cs="Arial"/>
          <w:szCs w:val="20"/>
          <w:lang w:val="en-GB" w:eastAsia="en-GB"/>
        </w:rPr>
        <w:t xml:space="preserve"> section above), activity patterns around Baghdad City were largely consistent with long-standing trends.  On December 22, </w:t>
      </w:r>
      <w:r>
        <w:rPr>
          <w:rFonts w:eastAsia="Times New Roman" w:cs="Arial"/>
          <w:szCs w:val="20"/>
        </w:rPr>
        <w:t xml:space="preserve">two IEDs detonated outside a liquor store in New </w:t>
      </w:r>
      <w:proofErr w:type="spellStart"/>
      <w:r>
        <w:rPr>
          <w:rFonts w:eastAsia="Times New Roman" w:cs="Arial"/>
          <w:szCs w:val="20"/>
        </w:rPr>
        <w:t>Bagdhad</w:t>
      </w:r>
      <w:proofErr w:type="spellEnd"/>
      <w:r>
        <w:rPr>
          <w:rFonts w:eastAsia="Times New Roman" w:cs="Arial"/>
          <w:szCs w:val="20"/>
        </w:rPr>
        <w:t xml:space="preserve"> district, causing material damage but no casualties.  This is the fourth incident targeting liquor stores in Baghdad City over the past week, following two previous attacks in Karada district. Hos</w:t>
      </w:r>
      <w:r w:rsidR="00DF23C0">
        <w:rPr>
          <w:rFonts w:eastAsia="Times New Roman" w:cs="Arial"/>
          <w:szCs w:val="20"/>
        </w:rPr>
        <w:t>tile activity across the capital was</w:t>
      </w:r>
      <w:r>
        <w:rPr>
          <w:rFonts w:eastAsia="Times New Roman" w:cs="Arial"/>
          <w:szCs w:val="20"/>
        </w:rPr>
        <w:t xml:space="preserve"> otherwise subdued and related to local disputes rather than terrorism.</w:t>
      </w:r>
    </w:p>
    <w:p w:rsidR="005A247B" w:rsidRDefault="00DF23C0" w:rsidP="00BC1EFF">
      <w:pPr>
        <w:spacing w:line="276" w:lineRule="auto"/>
        <w:jc w:val="both"/>
        <w:rPr>
          <w:rFonts w:eastAsia="Times New Roman" w:cs="Arial"/>
          <w:szCs w:val="20"/>
        </w:rPr>
      </w:pPr>
      <w:r>
        <w:rPr>
          <w:rFonts w:eastAsia="Times New Roman" w:cs="Arial"/>
          <w:szCs w:val="20"/>
        </w:rPr>
        <w:t xml:space="preserve">  </w:t>
      </w:r>
    </w:p>
    <w:p w:rsidR="00FF3E41" w:rsidRPr="005A247B" w:rsidRDefault="00FF3E41" w:rsidP="00BC1EFF">
      <w:pPr>
        <w:spacing w:line="276" w:lineRule="auto"/>
        <w:jc w:val="both"/>
        <w:rPr>
          <w:rFonts w:eastAsia="Calibri" w:cs="Arial"/>
          <w:szCs w:val="20"/>
          <w:lang w:val="en-GB" w:eastAsia="en-GB"/>
        </w:rPr>
      </w:pPr>
      <w:r>
        <w:rPr>
          <w:rFonts w:eastAsia="Times New Roman" w:cs="Arial"/>
          <w:szCs w:val="20"/>
        </w:rPr>
        <w:t>No major security developments were noted in the provincial areas with low-level violence reported in population centres characterised by high levels of local violence.  SAF attacks targeting civilians were accordingly reported in Sabah al-</w:t>
      </w:r>
      <w:proofErr w:type="spellStart"/>
      <w:r>
        <w:rPr>
          <w:rFonts w:eastAsia="Times New Roman" w:cs="Arial"/>
          <w:szCs w:val="20"/>
        </w:rPr>
        <w:t>Bour</w:t>
      </w:r>
      <w:proofErr w:type="spellEnd"/>
      <w:r>
        <w:rPr>
          <w:rFonts w:eastAsia="Times New Roman" w:cs="Arial"/>
          <w:szCs w:val="20"/>
        </w:rPr>
        <w:t xml:space="preserve">, Taji and Radwaniyah while the victim of a kidnap was released in Mahmudiyah.  ISF activity concentrated on criminality and suspected terrorism, with several arrest operations recorded in Nahrawan, Mahmudiyah, </w:t>
      </w:r>
      <w:proofErr w:type="spellStart"/>
      <w:r>
        <w:rPr>
          <w:rFonts w:eastAsia="Times New Roman" w:cs="Arial"/>
          <w:szCs w:val="20"/>
        </w:rPr>
        <w:t>Hussainiyah</w:t>
      </w:r>
      <w:proofErr w:type="spellEnd"/>
      <w:r>
        <w:rPr>
          <w:rFonts w:eastAsia="Times New Roman" w:cs="Arial"/>
          <w:szCs w:val="20"/>
        </w:rPr>
        <w:t xml:space="preserve"> and Abu Ghraib.  The overall security situation in Baghdad province remains stable. </w:t>
      </w: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2131C2" w:rsidRDefault="002131C2">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98" w:name="_Toc461257191"/>
      <w:bookmarkStart w:id="99" w:name="_Toc461261787"/>
      <w:bookmarkStart w:id="100" w:name="_Toc461785048"/>
      <w:bookmarkStart w:id="101" w:name="_Toc461868969"/>
      <w:bookmarkStart w:id="102" w:name="_Toc463640921"/>
      <w:bookmarkStart w:id="103" w:name="_Toc464304929"/>
      <w:bookmarkStart w:id="104" w:name="_Toc465530395"/>
      <w:bookmarkStart w:id="105" w:name="_Toc466736729"/>
      <w:bookmarkStart w:id="106" w:name="_Toc467342869"/>
      <w:bookmarkStart w:id="107" w:name="_Toc469143661"/>
      <w:bookmarkStart w:id="108" w:name="_Toc469747971"/>
      <w:bookmarkStart w:id="109" w:name="_Toc469748062"/>
      <w:bookmarkStart w:id="110" w:name="_Toc469748118"/>
      <w:bookmarkStart w:id="111" w:name="_Toc470351679"/>
      <w:bookmarkStart w:id="112" w:name="_Toc470351776"/>
      <w:bookmarkStart w:id="113" w:name="_Toc470964463"/>
      <w:bookmarkStart w:id="114" w:name="_Toc470964508"/>
      <w:bookmarkStart w:id="115" w:name="_Toc470964596"/>
      <w:bookmarkStart w:id="116" w:name="_Toc472177392"/>
      <w:bookmarkStart w:id="117" w:name="_Toc472177533"/>
      <w:bookmarkStart w:id="118" w:name="_Toc472780735"/>
      <w:bookmarkStart w:id="119"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20" w:name="_Toc469748063"/>
      <w:bookmarkStart w:id="121" w:name="_Toc470351680"/>
    </w:p>
    <w:p w:rsidR="00CD583E" w:rsidRDefault="00CD583E" w:rsidP="00FE3033">
      <w:pPr>
        <w:spacing w:line="276" w:lineRule="auto"/>
        <w:jc w:val="both"/>
        <w:rPr>
          <w:rFonts w:eastAsia="Calibri" w:cs="Arial"/>
          <w:bCs/>
          <w:szCs w:val="20"/>
          <w:lang w:eastAsia="en-GB"/>
        </w:rPr>
      </w:pPr>
    </w:p>
    <w:p w:rsidR="00FF3E41" w:rsidRDefault="00FF3E41" w:rsidP="00AE58E2">
      <w:pPr>
        <w:spacing w:line="276" w:lineRule="auto"/>
        <w:jc w:val="both"/>
        <w:rPr>
          <w:rFonts w:eastAsia="Times New Roman" w:cs="Arial"/>
          <w:bCs/>
          <w:noProof/>
          <w:szCs w:val="20"/>
          <w:lang w:val="en-GB"/>
        </w:rPr>
      </w:pPr>
      <w:r>
        <w:rPr>
          <w:rFonts w:eastAsia="Times New Roman" w:cs="Arial"/>
          <w:bCs/>
          <w:noProof/>
          <w:szCs w:val="20"/>
          <w:lang w:val="en-GB"/>
        </w:rPr>
        <w:t>No significant security developments were noted overall in the southern region with daily activity patterns consistent with long-standing trends and accordingly domininated by criminality, local disputes and tribal tensions.  Low-scale demonstrations driven by local and political grievances continue, with regular protests recorded in the provincial capitals during the week.</w:t>
      </w:r>
    </w:p>
    <w:p w:rsidR="00FF3E41" w:rsidRDefault="00FF3E41" w:rsidP="00AE58E2">
      <w:pPr>
        <w:spacing w:line="276" w:lineRule="auto"/>
        <w:jc w:val="both"/>
        <w:rPr>
          <w:rFonts w:eastAsia="Times New Roman" w:cs="Arial"/>
          <w:bCs/>
          <w:noProof/>
          <w:szCs w:val="20"/>
          <w:lang w:val="en-GB"/>
        </w:rPr>
      </w:pPr>
    </w:p>
    <w:p w:rsidR="007E32FA" w:rsidRDefault="00FF3E41" w:rsidP="00AE58E2">
      <w:pPr>
        <w:spacing w:line="276" w:lineRule="auto"/>
        <w:jc w:val="both"/>
        <w:rPr>
          <w:rFonts w:eastAsia="Times New Roman" w:cs="Arial"/>
          <w:bCs/>
          <w:noProof/>
          <w:szCs w:val="20"/>
          <w:lang w:val="en-GB"/>
        </w:rPr>
      </w:pPr>
      <w:r w:rsidRPr="00FF3E41">
        <w:rPr>
          <w:rFonts w:eastAsia="Times New Roman" w:cs="Arial"/>
          <w:bCs/>
          <w:noProof/>
          <w:szCs w:val="20"/>
          <w:lang w:val="en-GB"/>
        </w:rPr>
        <w:t>In Basra, protest action continued at a rate similar to th</w:t>
      </w:r>
      <w:r w:rsidR="00DF23C0">
        <w:rPr>
          <w:rFonts w:eastAsia="Times New Roman" w:cs="Arial"/>
          <w:bCs/>
          <w:noProof/>
          <w:szCs w:val="20"/>
          <w:lang w:val="en-GB"/>
        </w:rPr>
        <w:t>at witnessed in previous weeks, in response to typical grievances including lack of federal</w:t>
      </w:r>
      <w:r w:rsidRPr="00FF3E41">
        <w:rPr>
          <w:rFonts w:eastAsia="Times New Roman" w:cs="Arial"/>
          <w:bCs/>
          <w:noProof/>
          <w:szCs w:val="20"/>
          <w:lang w:val="en-GB"/>
        </w:rPr>
        <w:t xml:space="preserve"> spending, infrastructure problems, unemployment, a continuing energy crisis and a growing uncertainty as to the agenda of the </w:t>
      </w:r>
      <w:r w:rsidR="00DF23C0">
        <w:rPr>
          <w:rFonts w:eastAsia="Times New Roman" w:cs="Arial"/>
          <w:bCs/>
          <w:noProof/>
          <w:szCs w:val="20"/>
          <w:lang w:val="en-GB"/>
        </w:rPr>
        <w:t>Governor Idani</w:t>
      </w:r>
      <w:r w:rsidRPr="00FF3E41">
        <w:rPr>
          <w:rFonts w:eastAsia="Times New Roman" w:cs="Arial"/>
          <w:bCs/>
          <w:noProof/>
          <w:szCs w:val="20"/>
          <w:lang w:val="en-GB"/>
        </w:rPr>
        <w:t xml:space="preserve">. The period for him to announce his decision to remain in the post of Governor or take up his position in parliament </w:t>
      </w:r>
      <w:r w:rsidR="00DF23C0">
        <w:rPr>
          <w:rFonts w:eastAsia="Times New Roman" w:cs="Arial"/>
          <w:bCs/>
          <w:noProof/>
          <w:szCs w:val="20"/>
          <w:lang w:val="en-GB"/>
        </w:rPr>
        <w:t>is coming to an end and the council is</w:t>
      </w:r>
      <w:r w:rsidRPr="00FF3E41">
        <w:rPr>
          <w:rFonts w:eastAsia="Times New Roman" w:cs="Arial"/>
          <w:bCs/>
          <w:noProof/>
          <w:szCs w:val="20"/>
          <w:lang w:val="en-GB"/>
        </w:rPr>
        <w:t xml:space="preserve"> keen to have someone earmarked as his successor as soon as an announcement is made. In relation to the stalled 2019 </w:t>
      </w:r>
      <w:r w:rsidR="00DF23C0">
        <w:rPr>
          <w:rFonts w:eastAsia="Times New Roman" w:cs="Arial"/>
          <w:bCs/>
          <w:noProof/>
          <w:szCs w:val="20"/>
          <w:lang w:val="en-GB"/>
        </w:rPr>
        <w:t>national budget</w:t>
      </w:r>
      <w:r w:rsidRPr="00FF3E41">
        <w:rPr>
          <w:rFonts w:eastAsia="Times New Roman" w:cs="Arial"/>
          <w:bCs/>
          <w:noProof/>
          <w:szCs w:val="20"/>
          <w:lang w:val="en-GB"/>
        </w:rPr>
        <w:t>, political activity intended to emphasise the</w:t>
      </w:r>
      <w:r w:rsidR="00DF23C0">
        <w:rPr>
          <w:rFonts w:eastAsia="Times New Roman" w:cs="Arial"/>
          <w:bCs/>
          <w:noProof/>
          <w:szCs w:val="20"/>
          <w:lang w:val="en-GB"/>
        </w:rPr>
        <w:t xml:space="preserve"> economic significance of Basra</w:t>
      </w:r>
      <w:r w:rsidRPr="00FF3E41">
        <w:rPr>
          <w:rFonts w:eastAsia="Times New Roman" w:cs="Arial"/>
          <w:bCs/>
          <w:noProof/>
          <w:szCs w:val="20"/>
          <w:lang w:val="en-GB"/>
        </w:rPr>
        <w:t xml:space="preserve"> will continue </w:t>
      </w:r>
      <w:r w:rsidR="00DF23C0">
        <w:rPr>
          <w:rFonts w:eastAsia="Times New Roman" w:cs="Arial"/>
          <w:bCs/>
          <w:noProof/>
          <w:szCs w:val="20"/>
          <w:lang w:val="en-GB"/>
        </w:rPr>
        <w:t>in a bid to increase the province’s share</w:t>
      </w:r>
      <w:r w:rsidRPr="00FF3E41">
        <w:rPr>
          <w:rFonts w:eastAsia="Times New Roman" w:cs="Arial"/>
          <w:bCs/>
          <w:noProof/>
          <w:szCs w:val="20"/>
          <w:lang w:val="en-GB"/>
        </w:rPr>
        <w:t xml:space="preserve">.  </w:t>
      </w:r>
      <w:r w:rsidR="00DF23C0">
        <w:rPr>
          <w:rFonts w:eastAsia="Times New Roman" w:cs="Arial"/>
          <w:bCs/>
          <w:noProof/>
          <w:szCs w:val="20"/>
          <w:lang w:val="en-GB"/>
        </w:rPr>
        <w:t>There were n</w:t>
      </w:r>
      <w:r w:rsidRPr="00FF3E41">
        <w:rPr>
          <w:rFonts w:eastAsia="Times New Roman" w:cs="Arial"/>
          <w:bCs/>
          <w:noProof/>
          <w:szCs w:val="20"/>
          <w:lang w:val="en-GB"/>
        </w:rPr>
        <w:t xml:space="preserve">o notable incidents in the city over the reporting period, with those recorded remaining low-level </w:t>
      </w:r>
      <w:r w:rsidR="00DF23C0">
        <w:rPr>
          <w:rFonts w:eastAsia="Times New Roman" w:cs="Arial"/>
          <w:bCs/>
          <w:noProof/>
          <w:szCs w:val="20"/>
          <w:lang w:val="en-GB"/>
        </w:rPr>
        <w:t>and related to local issues.</w:t>
      </w:r>
      <w:r w:rsidR="00183FD4">
        <w:rPr>
          <w:rFonts w:eastAsia="Times New Roman" w:cs="Arial"/>
          <w:bCs/>
          <w:noProof/>
          <w:szCs w:val="20"/>
          <w:lang w:val="en-GB"/>
        </w:rPr>
        <w:t xml:space="preserve"> On 24 December, the provincial council</w:t>
      </w:r>
      <w:r w:rsidRPr="00FF3E41">
        <w:rPr>
          <w:rFonts w:eastAsia="Times New Roman" w:cs="Arial"/>
          <w:bCs/>
          <w:noProof/>
          <w:szCs w:val="20"/>
          <w:lang w:val="en-GB"/>
        </w:rPr>
        <w:t xml:space="preserve"> raised a recommendation for the dismissal of the current Basra Chief of Police. Of the 25 members present, it is believed almost all backed the motion for his dismissal. They cited the failure of the security forces to adequately protect them on the a</w:t>
      </w:r>
      <w:r w:rsidR="00183FD4">
        <w:rPr>
          <w:rFonts w:eastAsia="Times New Roman" w:cs="Arial"/>
          <w:bCs/>
          <w:noProof/>
          <w:szCs w:val="20"/>
          <w:lang w:val="en-GB"/>
        </w:rPr>
        <w:t xml:space="preserve">fternoon/evening of 15 December when large numbers of protesters prevented council members from escaping an ongoing session. Another potentially contenscious issue concerns the </w:t>
      </w:r>
      <w:r w:rsidRPr="00FF3E41">
        <w:rPr>
          <w:rFonts w:eastAsia="Times New Roman" w:cs="Arial"/>
          <w:bCs/>
          <w:noProof/>
          <w:szCs w:val="20"/>
          <w:lang w:val="en-GB"/>
        </w:rPr>
        <w:t>‘Chairman’ of</w:t>
      </w:r>
      <w:r w:rsidR="00183FD4">
        <w:rPr>
          <w:rFonts w:eastAsia="Times New Roman" w:cs="Arial"/>
          <w:bCs/>
          <w:noProof/>
          <w:szCs w:val="20"/>
          <w:lang w:val="en-GB"/>
        </w:rPr>
        <w:t xml:space="preserve"> the Basra Provincial Council, Sabah al-Bazouni, who </w:t>
      </w:r>
      <w:r w:rsidRPr="00FF3E41">
        <w:rPr>
          <w:rFonts w:eastAsia="Times New Roman" w:cs="Arial"/>
          <w:bCs/>
          <w:noProof/>
          <w:szCs w:val="20"/>
          <w:lang w:val="en-GB"/>
        </w:rPr>
        <w:t xml:space="preserve">was released from prison </w:t>
      </w:r>
      <w:r w:rsidR="00183FD4">
        <w:rPr>
          <w:rFonts w:eastAsia="Times New Roman" w:cs="Arial"/>
          <w:bCs/>
          <w:noProof/>
          <w:szCs w:val="20"/>
          <w:lang w:val="en-GB"/>
        </w:rPr>
        <w:t xml:space="preserve">on December 27 </w:t>
      </w:r>
      <w:r w:rsidRPr="00FF3E41">
        <w:rPr>
          <w:rFonts w:eastAsia="Times New Roman" w:cs="Arial"/>
          <w:bCs/>
          <w:noProof/>
          <w:szCs w:val="20"/>
          <w:lang w:val="en-GB"/>
        </w:rPr>
        <w:t>after having been incarcerated for 18 months; Bazouni stated he would begin his work as the BPC Chairman from next week.</w:t>
      </w:r>
      <w:r>
        <w:rPr>
          <w:rFonts w:eastAsia="Times New Roman" w:cs="Arial"/>
          <w:bCs/>
          <w:noProof/>
          <w:szCs w:val="20"/>
          <w:lang w:val="en-GB"/>
        </w:rPr>
        <w:t xml:space="preserve">  </w:t>
      </w:r>
    </w:p>
    <w:p w:rsidR="007E32FA" w:rsidRDefault="007E32FA" w:rsidP="00AE58E2">
      <w:pPr>
        <w:spacing w:line="276" w:lineRule="auto"/>
        <w:jc w:val="both"/>
        <w:rPr>
          <w:rFonts w:eastAsia="SimSun" w:cs="Arial"/>
          <w:caps/>
          <w:color w:val="FFFFFF"/>
          <w:spacing w:val="15"/>
          <w:sz w:val="28"/>
          <w:szCs w:val="26"/>
          <w:lang w:eastAsia="ja-JP"/>
        </w:rPr>
      </w:pPr>
    </w:p>
    <w:p w:rsidR="007E32FA" w:rsidRPr="00AE58E2" w:rsidRDefault="007E32FA" w:rsidP="00AE58E2">
      <w:pPr>
        <w:spacing w:line="276" w:lineRule="auto"/>
        <w:jc w:val="both"/>
        <w:rPr>
          <w:rFonts w:eastAsia="Times New Roman" w:cs="Arial"/>
          <w:bCs/>
          <w:noProof/>
          <w:szCs w:val="20"/>
          <w:lang w:val="en-GB"/>
        </w:rPr>
      </w:pP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2" w:name="_Toc533875463"/>
      <w:r w:rsidRPr="00DD670C">
        <w:rPr>
          <w:rFonts w:eastAsia="SimSun" w:cs="Arial"/>
          <w:caps/>
          <w:color w:val="FFFFFF"/>
          <w:spacing w:val="15"/>
          <w:sz w:val="28"/>
          <w:szCs w:val="26"/>
          <w:lang w:eastAsia="ja-JP"/>
        </w:rPr>
        <w:t>ACRONYM LIST</w:t>
      </w:r>
      <w:bookmarkEnd w:id="120"/>
      <w:bookmarkEnd w:id="121"/>
      <w:bookmarkEnd w:id="122"/>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3"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4" w:name="_Toc469748064"/>
      <w:bookmarkStart w:id="125" w:name="_Toc470351681"/>
      <w:bookmarkStart w:id="126" w:name="_Toc533875464"/>
      <w:bookmarkEnd w:id="123"/>
      <w:r w:rsidRPr="00DD670C">
        <w:rPr>
          <w:rFonts w:eastAsia="SimSun" w:cs="Arial"/>
          <w:caps/>
          <w:color w:val="FFFFFF"/>
          <w:spacing w:val="15"/>
          <w:sz w:val="28"/>
          <w:szCs w:val="26"/>
          <w:lang w:eastAsia="ja-JP"/>
        </w:rPr>
        <w:lastRenderedPageBreak/>
        <w:t>GARDAWORLD INFORMATION SERVICES</w:t>
      </w:r>
      <w:bookmarkEnd w:id="124"/>
      <w:bookmarkEnd w:id="125"/>
      <w:bookmarkEnd w:id="126"/>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7" w:name="_Toc469748065"/>
      <w:bookmarkStart w:id="128" w:name="_Toc470351682"/>
      <w:bookmarkStart w:id="129" w:name="_Toc533875465"/>
      <w:r w:rsidRPr="00DD670C">
        <w:rPr>
          <w:rFonts w:eastAsia="SimSun" w:cs="Arial"/>
          <w:caps/>
          <w:color w:val="FFFFFF"/>
          <w:spacing w:val="15"/>
          <w:sz w:val="28"/>
          <w:szCs w:val="26"/>
          <w:lang w:eastAsia="ja-JP"/>
        </w:rPr>
        <w:t>GARDAWORLD</w:t>
      </w:r>
      <w:bookmarkEnd w:id="127"/>
      <w:bookmarkEnd w:id="128"/>
      <w:bookmarkEnd w:id="129"/>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EF2" w:rsidRDefault="00715EF2" w:rsidP="000325CD">
      <w:r>
        <w:separator/>
      </w:r>
    </w:p>
  </w:endnote>
  <w:endnote w:type="continuationSeparator" w:id="0">
    <w:p w:rsidR="00715EF2" w:rsidRDefault="00715EF2"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215FA5" w:rsidRDefault="00215FA5"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215FA5" w:rsidRPr="00937EF2" w:rsidRDefault="00215FA5" w:rsidP="00B8605E">
    <w:pPr>
      <w:pStyle w:val="Header"/>
      <w:ind w:left="-1440"/>
      <w:jc w:val="center"/>
      <w:rPr>
        <w:sz w:val="18"/>
      </w:rPr>
    </w:pPr>
  </w:p>
  <w:p w:rsidR="00215FA5" w:rsidRPr="001168B4" w:rsidRDefault="00215FA5"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4B753B">
    <w:pPr>
      <w:pStyle w:val="Header"/>
      <w:tabs>
        <w:tab w:val="clear" w:pos="9360"/>
        <w:tab w:val="right" w:pos="9990"/>
      </w:tabs>
      <w:rPr>
        <w:sz w:val="18"/>
      </w:rPr>
    </w:pPr>
  </w:p>
  <w:p w:rsidR="00215FA5" w:rsidRDefault="00215FA5"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215FA5" w:rsidRPr="004B753B" w:rsidRDefault="00215FA5" w:rsidP="004B753B">
    <w:pPr>
      <w:pStyle w:val="Footer"/>
    </w:pPr>
    <w:r>
      <w:rPr>
        <w:noProof/>
        <w:lang w:val="en-GB" w:eastAsia="en-GB"/>
      </w:rPr>
      <w:drawing>
        <wp:inline distT="0" distB="0" distL="0" distR="0" wp14:anchorId="78CAE593" wp14:editId="1AD63A1B">
          <wp:extent cx="5331650" cy="423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215FA5" w:rsidRPr="00937EF2" w:rsidRDefault="00215FA5"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EF2" w:rsidRDefault="00715EF2" w:rsidP="000325CD">
      <w:r>
        <w:separator/>
      </w:r>
    </w:p>
  </w:footnote>
  <w:footnote w:type="continuationSeparator" w:id="0">
    <w:p w:rsidR="00715EF2" w:rsidRDefault="00715EF2"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554DF9">
    <w:pPr>
      <w:pStyle w:val="Header"/>
      <w:tabs>
        <w:tab w:val="left" w:pos="676"/>
        <w:tab w:val="right" w:pos="9450"/>
      </w:tabs>
    </w:pPr>
    <w:r>
      <w:rPr>
        <w:b/>
      </w:rPr>
      <w:t>Weekly Iraq .Xplored Report</w:t>
    </w:r>
    <w:r>
      <w:t xml:space="preserve"> </w:t>
    </w:r>
  </w:p>
  <w:p w:rsidR="00215FA5" w:rsidRDefault="00215FA5" w:rsidP="00C97CB3">
    <w:pPr>
      <w:pStyle w:val="Header"/>
      <w:tabs>
        <w:tab w:val="clear" w:pos="9360"/>
        <w:tab w:val="left" w:pos="676"/>
        <w:tab w:val="right" w:pos="9990"/>
      </w:tabs>
    </w:pPr>
    <w:r>
      <w:t>29 December 2018</w:t>
    </w:r>
    <w:r>
      <w:tab/>
      <w:t xml:space="preserve">    </w:t>
    </w:r>
    <w:r>
      <w:tab/>
    </w:r>
    <w:r>
      <w:rPr>
        <w:noProof/>
        <w:lang w:val="en-GB" w:eastAsia="en-GB"/>
      </w:rPr>
      <w:drawing>
        <wp:inline distT="0" distB="0" distL="0" distR="0" wp14:anchorId="19839839" wp14:editId="6873919B">
          <wp:extent cx="1981200" cy="220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554DF9">
    <w:pPr>
      <w:pStyle w:val="Header"/>
      <w:tabs>
        <w:tab w:val="left" w:pos="676"/>
        <w:tab w:val="right" w:pos="9450"/>
      </w:tabs>
    </w:pPr>
    <w:r>
      <w:rPr>
        <w:b/>
      </w:rPr>
      <w:t>Weekly Iraq .Xplored Report</w:t>
    </w:r>
    <w:r>
      <w:t xml:space="preserve"> </w:t>
    </w:r>
  </w:p>
  <w:p w:rsidR="00215FA5" w:rsidRDefault="00215FA5" w:rsidP="00C97CB3">
    <w:pPr>
      <w:pStyle w:val="Header"/>
      <w:tabs>
        <w:tab w:val="clear" w:pos="9360"/>
        <w:tab w:val="left" w:pos="676"/>
        <w:tab w:val="right" w:pos="9990"/>
      </w:tabs>
    </w:pPr>
    <w:r>
      <w:t>29 December 2018</w:t>
    </w:r>
    <w:r>
      <w:tab/>
      <w:t xml:space="preserve">    </w:t>
    </w:r>
    <w:r>
      <w:tab/>
    </w:r>
    <w:r>
      <w:tab/>
      <w:t xml:space="preserve">    </w:t>
    </w:r>
    <w:r>
      <w:rPr>
        <w:noProof/>
        <w:lang w:val="en-GB" w:eastAsia="en-GB"/>
      </w:rPr>
      <w:drawing>
        <wp:inline distT="0" distB="0" distL="0" distR="0" wp14:anchorId="7A3BF7C9" wp14:editId="699DCAB6">
          <wp:extent cx="19812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D0541D">
    <w:pPr>
      <w:pStyle w:val="Header"/>
      <w:tabs>
        <w:tab w:val="left" w:pos="676"/>
        <w:tab w:val="right" w:pos="9450"/>
      </w:tabs>
    </w:pPr>
    <w:r>
      <w:rPr>
        <w:b/>
      </w:rPr>
      <w:t>Weekly Iraq .Xplored Report</w:t>
    </w:r>
    <w:r>
      <w:t xml:space="preserve"> </w:t>
    </w:r>
    <w:r>
      <w:tab/>
    </w:r>
    <w:r>
      <w:tab/>
    </w:r>
  </w:p>
  <w:p w:rsidR="00215FA5" w:rsidRDefault="00215FA5" w:rsidP="00C97CB3">
    <w:pPr>
      <w:pStyle w:val="Header"/>
      <w:tabs>
        <w:tab w:val="clear" w:pos="4680"/>
        <w:tab w:val="clear" w:pos="9360"/>
        <w:tab w:val="left" w:pos="676"/>
        <w:tab w:val="center" w:pos="4860"/>
        <w:tab w:val="right" w:pos="9990"/>
      </w:tabs>
    </w:pPr>
    <w:r>
      <w:t>29 December 2018</w:t>
    </w:r>
    <w:r>
      <w:tab/>
    </w:r>
    <w:r>
      <w:tab/>
    </w:r>
    <w:r>
      <w:rPr>
        <w:noProof/>
        <w:lang w:val="en-GB" w:eastAsia="en-GB"/>
      </w:rPr>
      <w:drawing>
        <wp:inline distT="0" distB="0" distL="0" distR="0" wp14:anchorId="7EF08997" wp14:editId="6CDB703F">
          <wp:extent cx="1981200" cy="220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215FA5" w:rsidRDefault="00215F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A5" w:rsidRDefault="00215FA5" w:rsidP="00D0541D">
    <w:pPr>
      <w:pStyle w:val="Header"/>
      <w:tabs>
        <w:tab w:val="left" w:pos="676"/>
        <w:tab w:val="right" w:pos="9450"/>
      </w:tabs>
    </w:pPr>
    <w:r>
      <w:tab/>
    </w:r>
    <w:r>
      <w:tab/>
    </w:r>
  </w:p>
  <w:p w:rsidR="00215FA5" w:rsidRDefault="00215FA5"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215FA5" w:rsidRDefault="00215FA5">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61338"/>
    <w:multiLevelType w:val="hybridMultilevel"/>
    <w:tmpl w:val="04F6B388"/>
    <w:lvl w:ilvl="0" w:tplc="FD66E6BA">
      <w:start w:val="6"/>
      <w:numFmt w:val="bullet"/>
      <w:lvlText w:val="-"/>
      <w:lvlJc w:val="left"/>
      <w:pPr>
        <w:ind w:left="720" w:hanging="360"/>
      </w:pPr>
      <w:rPr>
        <w:rFonts w:ascii="Arial" w:eastAsia="Calibri" w:hAnsi="Aria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D38DD"/>
    <w:multiLevelType w:val="hybridMultilevel"/>
    <w:tmpl w:val="324AC0B8"/>
    <w:lvl w:ilvl="0" w:tplc="99A275A2">
      <w:start w:val="6"/>
      <w:numFmt w:val="bullet"/>
      <w:lvlText w:val="-"/>
      <w:lvlJc w:val="left"/>
      <w:pPr>
        <w:ind w:left="720" w:hanging="360"/>
      </w:pPr>
      <w:rPr>
        <w:rFonts w:ascii="Arial" w:eastAsia="Times New Roman" w:hAnsi="Aria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1"/>
  </w:num>
  <w:num w:numId="5">
    <w:abstractNumId w:val="34"/>
  </w:num>
  <w:num w:numId="6">
    <w:abstractNumId w:val="18"/>
  </w:num>
  <w:num w:numId="7">
    <w:abstractNumId w:val="17"/>
  </w:num>
  <w:num w:numId="8">
    <w:abstractNumId w:val="36"/>
  </w:num>
  <w:num w:numId="9">
    <w:abstractNumId w:val="9"/>
  </w:num>
  <w:num w:numId="10">
    <w:abstractNumId w:val="17"/>
  </w:num>
  <w:num w:numId="11">
    <w:abstractNumId w:val="27"/>
  </w:num>
  <w:num w:numId="12">
    <w:abstractNumId w:val="14"/>
  </w:num>
  <w:num w:numId="13">
    <w:abstractNumId w:val="23"/>
  </w:num>
  <w:num w:numId="14">
    <w:abstractNumId w:val="19"/>
  </w:num>
  <w:num w:numId="15">
    <w:abstractNumId w:val="10"/>
  </w:num>
  <w:num w:numId="16">
    <w:abstractNumId w:val="10"/>
  </w:num>
  <w:num w:numId="17">
    <w:abstractNumId w:val="10"/>
  </w:num>
  <w:num w:numId="18">
    <w:abstractNumId w:val="10"/>
  </w:num>
  <w:num w:numId="19">
    <w:abstractNumId w:val="10"/>
  </w:num>
  <w:num w:numId="20">
    <w:abstractNumId w:val="12"/>
  </w:num>
  <w:num w:numId="21">
    <w:abstractNumId w:val="8"/>
  </w:num>
  <w:num w:numId="22">
    <w:abstractNumId w:val="10"/>
  </w:num>
  <w:num w:numId="23">
    <w:abstractNumId w:val="3"/>
  </w:num>
  <w:num w:numId="24">
    <w:abstractNumId w:val="30"/>
  </w:num>
  <w:num w:numId="25">
    <w:abstractNumId w:val="31"/>
  </w:num>
  <w:num w:numId="26">
    <w:abstractNumId w:val="13"/>
  </w:num>
  <w:num w:numId="27">
    <w:abstractNumId w:val="35"/>
  </w:num>
  <w:num w:numId="28">
    <w:abstractNumId w:val="20"/>
  </w:num>
  <w:num w:numId="29">
    <w:abstractNumId w:val="24"/>
  </w:num>
  <w:num w:numId="30">
    <w:abstractNumId w:val="15"/>
  </w:num>
  <w:num w:numId="31">
    <w:abstractNumId w:val="32"/>
  </w:num>
  <w:num w:numId="32">
    <w:abstractNumId w:val="25"/>
  </w:num>
  <w:num w:numId="33">
    <w:abstractNumId w:val="37"/>
  </w:num>
  <w:num w:numId="34">
    <w:abstractNumId w:val="16"/>
  </w:num>
  <w:num w:numId="35">
    <w:abstractNumId w:val="33"/>
  </w:num>
  <w:num w:numId="36">
    <w:abstractNumId w:val="28"/>
  </w:num>
  <w:num w:numId="37">
    <w:abstractNumId w:val="4"/>
  </w:num>
  <w:num w:numId="38">
    <w:abstractNumId w:val="29"/>
  </w:num>
  <w:num w:numId="39">
    <w:abstractNumId w:val="22"/>
  </w:num>
  <w:num w:numId="40">
    <w:abstractNumId w:val="2"/>
  </w:num>
  <w:num w:numId="41">
    <w:abstractNumId w:val="7"/>
  </w:num>
  <w:num w:numId="42">
    <w:abstractNumId w:val="5"/>
  </w:num>
  <w:num w:numId="43">
    <w:abstractNumId w:val="35"/>
  </w:num>
  <w:num w:numId="44">
    <w:abstractNumId w:val="1"/>
  </w:num>
  <w:num w:numId="45">
    <w:abstractNumId w:val="35"/>
  </w:num>
  <w:num w:numId="46">
    <w:abstractNumId w:val="35"/>
  </w:num>
  <w:num w:numId="47">
    <w:abstractNumId w:val="11"/>
  </w:num>
  <w:num w:numId="48">
    <w:abstractNumId w:val="26"/>
  </w:num>
  <w:num w:numId="49">
    <w:abstractNumId w:val="35"/>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0FD"/>
    <w:rsid w:val="000136EE"/>
    <w:rsid w:val="00013A4E"/>
    <w:rsid w:val="00013E90"/>
    <w:rsid w:val="000145C3"/>
    <w:rsid w:val="00015461"/>
    <w:rsid w:val="00016133"/>
    <w:rsid w:val="000168E2"/>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0C2"/>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0EFF"/>
    <w:rsid w:val="00041711"/>
    <w:rsid w:val="000430E8"/>
    <w:rsid w:val="000441F4"/>
    <w:rsid w:val="000467B3"/>
    <w:rsid w:val="00047BDE"/>
    <w:rsid w:val="00047CA4"/>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3996"/>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F1813"/>
    <w:rsid w:val="000F1A75"/>
    <w:rsid w:val="000F37E5"/>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56E"/>
    <w:rsid w:val="00112C2D"/>
    <w:rsid w:val="00112D5E"/>
    <w:rsid w:val="00113681"/>
    <w:rsid w:val="001141FF"/>
    <w:rsid w:val="0011452F"/>
    <w:rsid w:val="00114C20"/>
    <w:rsid w:val="00115435"/>
    <w:rsid w:val="001155C3"/>
    <w:rsid w:val="00115D0C"/>
    <w:rsid w:val="0011603C"/>
    <w:rsid w:val="001161E7"/>
    <w:rsid w:val="00116360"/>
    <w:rsid w:val="00116888"/>
    <w:rsid w:val="001168B4"/>
    <w:rsid w:val="00117E62"/>
    <w:rsid w:val="00120023"/>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3FD4"/>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24AE"/>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67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1C2"/>
    <w:rsid w:val="0021372B"/>
    <w:rsid w:val="00214E23"/>
    <w:rsid w:val="00215857"/>
    <w:rsid w:val="00215A91"/>
    <w:rsid w:val="00215CC2"/>
    <w:rsid w:val="00215F5A"/>
    <w:rsid w:val="00215FA5"/>
    <w:rsid w:val="00216759"/>
    <w:rsid w:val="00217BE2"/>
    <w:rsid w:val="00217CF4"/>
    <w:rsid w:val="00220637"/>
    <w:rsid w:val="00220E41"/>
    <w:rsid w:val="00221446"/>
    <w:rsid w:val="00221DA2"/>
    <w:rsid w:val="00222F98"/>
    <w:rsid w:val="00224233"/>
    <w:rsid w:val="00224D04"/>
    <w:rsid w:val="00224EDC"/>
    <w:rsid w:val="00225842"/>
    <w:rsid w:val="00225B52"/>
    <w:rsid w:val="00225E0E"/>
    <w:rsid w:val="0022646D"/>
    <w:rsid w:val="00226E25"/>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35D07"/>
    <w:rsid w:val="00241375"/>
    <w:rsid w:val="00241C88"/>
    <w:rsid w:val="00242594"/>
    <w:rsid w:val="0024264C"/>
    <w:rsid w:val="002446E3"/>
    <w:rsid w:val="00244EFC"/>
    <w:rsid w:val="00245526"/>
    <w:rsid w:val="002458AC"/>
    <w:rsid w:val="002460A7"/>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AC1"/>
    <w:rsid w:val="00264BE3"/>
    <w:rsid w:val="00264CB2"/>
    <w:rsid w:val="00265035"/>
    <w:rsid w:val="002655B8"/>
    <w:rsid w:val="0026616C"/>
    <w:rsid w:val="00267F89"/>
    <w:rsid w:val="002703CD"/>
    <w:rsid w:val="00270E04"/>
    <w:rsid w:val="00271B5D"/>
    <w:rsid w:val="00273156"/>
    <w:rsid w:val="00273930"/>
    <w:rsid w:val="00273FAF"/>
    <w:rsid w:val="00274F2F"/>
    <w:rsid w:val="00275110"/>
    <w:rsid w:val="002757CE"/>
    <w:rsid w:val="0027640D"/>
    <w:rsid w:val="00277096"/>
    <w:rsid w:val="00281409"/>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4E8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39D"/>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2DEA"/>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3334"/>
    <w:rsid w:val="003D4132"/>
    <w:rsid w:val="003D44B2"/>
    <w:rsid w:val="003D46BC"/>
    <w:rsid w:val="003D5572"/>
    <w:rsid w:val="003D57D4"/>
    <w:rsid w:val="003D630D"/>
    <w:rsid w:val="003D63BE"/>
    <w:rsid w:val="003D667C"/>
    <w:rsid w:val="003D66E5"/>
    <w:rsid w:val="003D7222"/>
    <w:rsid w:val="003E1372"/>
    <w:rsid w:val="003E197D"/>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1DA"/>
    <w:rsid w:val="003F7659"/>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BA6"/>
    <w:rsid w:val="00426CD8"/>
    <w:rsid w:val="00427521"/>
    <w:rsid w:val="00427E61"/>
    <w:rsid w:val="00427EC6"/>
    <w:rsid w:val="004312EC"/>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97CCA"/>
    <w:rsid w:val="004A0BEB"/>
    <w:rsid w:val="004A16D9"/>
    <w:rsid w:val="004A181A"/>
    <w:rsid w:val="004A1F58"/>
    <w:rsid w:val="004A224D"/>
    <w:rsid w:val="004A22D8"/>
    <w:rsid w:val="004A5C2F"/>
    <w:rsid w:val="004A5E77"/>
    <w:rsid w:val="004A72AB"/>
    <w:rsid w:val="004B058F"/>
    <w:rsid w:val="004B0A57"/>
    <w:rsid w:val="004B0B6F"/>
    <w:rsid w:val="004B2AD1"/>
    <w:rsid w:val="004B2F40"/>
    <w:rsid w:val="004B3253"/>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BF1"/>
    <w:rsid w:val="004E0C42"/>
    <w:rsid w:val="004E209C"/>
    <w:rsid w:val="004E2C36"/>
    <w:rsid w:val="004E3117"/>
    <w:rsid w:val="004E4637"/>
    <w:rsid w:val="004E57F6"/>
    <w:rsid w:val="004E5EEC"/>
    <w:rsid w:val="004E6DF4"/>
    <w:rsid w:val="004E717C"/>
    <w:rsid w:val="004E77A1"/>
    <w:rsid w:val="004F01B7"/>
    <w:rsid w:val="004F12B0"/>
    <w:rsid w:val="004F1538"/>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230"/>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494"/>
    <w:rsid w:val="005816BF"/>
    <w:rsid w:val="00581B65"/>
    <w:rsid w:val="005830DE"/>
    <w:rsid w:val="0058316D"/>
    <w:rsid w:val="00583403"/>
    <w:rsid w:val="00583551"/>
    <w:rsid w:val="0058367C"/>
    <w:rsid w:val="00583A4E"/>
    <w:rsid w:val="00583D77"/>
    <w:rsid w:val="0058457B"/>
    <w:rsid w:val="0058572E"/>
    <w:rsid w:val="00585CA1"/>
    <w:rsid w:val="00586021"/>
    <w:rsid w:val="00586641"/>
    <w:rsid w:val="005874EE"/>
    <w:rsid w:val="00587783"/>
    <w:rsid w:val="005905B5"/>
    <w:rsid w:val="00592B45"/>
    <w:rsid w:val="00594914"/>
    <w:rsid w:val="00595039"/>
    <w:rsid w:val="00595972"/>
    <w:rsid w:val="00595D0E"/>
    <w:rsid w:val="005972AB"/>
    <w:rsid w:val="005979E7"/>
    <w:rsid w:val="005A0379"/>
    <w:rsid w:val="005A0A2D"/>
    <w:rsid w:val="005A11B0"/>
    <w:rsid w:val="005A1C6A"/>
    <w:rsid w:val="005A1EDD"/>
    <w:rsid w:val="005A247B"/>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6344"/>
    <w:rsid w:val="00616690"/>
    <w:rsid w:val="0061676D"/>
    <w:rsid w:val="00617D42"/>
    <w:rsid w:val="00617DB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5F0"/>
    <w:rsid w:val="00640DD6"/>
    <w:rsid w:val="00641DC1"/>
    <w:rsid w:val="00643482"/>
    <w:rsid w:val="00643775"/>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638"/>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4878"/>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7000CD"/>
    <w:rsid w:val="00700360"/>
    <w:rsid w:val="0070157C"/>
    <w:rsid w:val="00701AFE"/>
    <w:rsid w:val="00702540"/>
    <w:rsid w:val="007027CB"/>
    <w:rsid w:val="00702899"/>
    <w:rsid w:val="00702A7C"/>
    <w:rsid w:val="007042C9"/>
    <w:rsid w:val="007050AD"/>
    <w:rsid w:val="00705894"/>
    <w:rsid w:val="007058CA"/>
    <w:rsid w:val="00705D71"/>
    <w:rsid w:val="00706213"/>
    <w:rsid w:val="00707049"/>
    <w:rsid w:val="00710083"/>
    <w:rsid w:val="007109A9"/>
    <w:rsid w:val="00710CD8"/>
    <w:rsid w:val="0071167B"/>
    <w:rsid w:val="00712140"/>
    <w:rsid w:val="00713AA0"/>
    <w:rsid w:val="00713BDF"/>
    <w:rsid w:val="00713CCD"/>
    <w:rsid w:val="0071459E"/>
    <w:rsid w:val="00715047"/>
    <w:rsid w:val="00715983"/>
    <w:rsid w:val="00715BFA"/>
    <w:rsid w:val="00715D4C"/>
    <w:rsid w:val="00715EF2"/>
    <w:rsid w:val="007163CC"/>
    <w:rsid w:val="007167D4"/>
    <w:rsid w:val="007168D8"/>
    <w:rsid w:val="0071715A"/>
    <w:rsid w:val="007178A9"/>
    <w:rsid w:val="00717A05"/>
    <w:rsid w:val="00720766"/>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10DF"/>
    <w:rsid w:val="007E2BAD"/>
    <w:rsid w:val="007E2C54"/>
    <w:rsid w:val="007E32FA"/>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AE7"/>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439"/>
    <w:rsid w:val="00844D1A"/>
    <w:rsid w:val="008457A4"/>
    <w:rsid w:val="00845C0E"/>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43C"/>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5E3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6E49"/>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2EE2"/>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6CF"/>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14"/>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2A85"/>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471"/>
    <w:rsid w:val="00A079D8"/>
    <w:rsid w:val="00A07ABB"/>
    <w:rsid w:val="00A109A6"/>
    <w:rsid w:val="00A10DB7"/>
    <w:rsid w:val="00A11BDB"/>
    <w:rsid w:val="00A1246A"/>
    <w:rsid w:val="00A12FAF"/>
    <w:rsid w:val="00A13409"/>
    <w:rsid w:val="00A13F5C"/>
    <w:rsid w:val="00A150E2"/>
    <w:rsid w:val="00A15242"/>
    <w:rsid w:val="00A15988"/>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33A9"/>
    <w:rsid w:val="00A84307"/>
    <w:rsid w:val="00A84E68"/>
    <w:rsid w:val="00A85C2C"/>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7F5"/>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6E10"/>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2430"/>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8E2"/>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477"/>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9AA"/>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49E5"/>
    <w:rsid w:val="00B15835"/>
    <w:rsid w:val="00B16672"/>
    <w:rsid w:val="00B16D3F"/>
    <w:rsid w:val="00B16E4F"/>
    <w:rsid w:val="00B17085"/>
    <w:rsid w:val="00B17287"/>
    <w:rsid w:val="00B17A5B"/>
    <w:rsid w:val="00B17DA0"/>
    <w:rsid w:val="00B200BB"/>
    <w:rsid w:val="00B20618"/>
    <w:rsid w:val="00B21289"/>
    <w:rsid w:val="00B21983"/>
    <w:rsid w:val="00B21EB3"/>
    <w:rsid w:val="00B22124"/>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618"/>
    <w:rsid w:val="00B70E65"/>
    <w:rsid w:val="00B71253"/>
    <w:rsid w:val="00B732B5"/>
    <w:rsid w:val="00B73931"/>
    <w:rsid w:val="00B7398B"/>
    <w:rsid w:val="00B744BF"/>
    <w:rsid w:val="00B754FF"/>
    <w:rsid w:val="00B75BA8"/>
    <w:rsid w:val="00B7662F"/>
    <w:rsid w:val="00B771F3"/>
    <w:rsid w:val="00B80818"/>
    <w:rsid w:val="00B8090F"/>
    <w:rsid w:val="00B81328"/>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13BF"/>
    <w:rsid w:val="00C32C37"/>
    <w:rsid w:val="00C33103"/>
    <w:rsid w:val="00C33D00"/>
    <w:rsid w:val="00C343CA"/>
    <w:rsid w:val="00C347BE"/>
    <w:rsid w:val="00C35E9F"/>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5C98"/>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4BCC"/>
    <w:rsid w:val="00CB5D3F"/>
    <w:rsid w:val="00CB5E8D"/>
    <w:rsid w:val="00CB69F6"/>
    <w:rsid w:val="00CB73BA"/>
    <w:rsid w:val="00CC077E"/>
    <w:rsid w:val="00CC24BE"/>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13E8"/>
    <w:rsid w:val="00CE2990"/>
    <w:rsid w:val="00CE2D20"/>
    <w:rsid w:val="00CE30C7"/>
    <w:rsid w:val="00CE33BA"/>
    <w:rsid w:val="00CE3CC9"/>
    <w:rsid w:val="00CE4186"/>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D9A"/>
    <w:rsid w:val="00D2253C"/>
    <w:rsid w:val="00D22CB6"/>
    <w:rsid w:val="00D23181"/>
    <w:rsid w:val="00D231EA"/>
    <w:rsid w:val="00D2382B"/>
    <w:rsid w:val="00D238CF"/>
    <w:rsid w:val="00D23C43"/>
    <w:rsid w:val="00D24C0B"/>
    <w:rsid w:val="00D2510F"/>
    <w:rsid w:val="00D2604F"/>
    <w:rsid w:val="00D26052"/>
    <w:rsid w:val="00D26496"/>
    <w:rsid w:val="00D2699F"/>
    <w:rsid w:val="00D2700C"/>
    <w:rsid w:val="00D27533"/>
    <w:rsid w:val="00D27661"/>
    <w:rsid w:val="00D2771E"/>
    <w:rsid w:val="00D2777D"/>
    <w:rsid w:val="00D31F5A"/>
    <w:rsid w:val="00D32CFC"/>
    <w:rsid w:val="00D331C2"/>
    <w:rsid w:val="00D3358A"/>
    <w:rsid w:val="00D33650"/>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8C7"/>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5FAA"/>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32F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128"/>
    <w:rsid w:val="00DD6291"/>
    <w:rsid w:val="00DD6462"/>
    <w:rsid w:val="00DD646D"/>
    <w:rsid w:val="00DD670C"/>
    <w:rsid w:val="00DD6D01"/>
    <w:rsid w:val="00DD6E46"/>
    <w:rsid w:val="00DD6ECD"/>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3C0"/>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DE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406CF"/>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1C98"/>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5525"/>
    <w:rsid w:val="00E9679E"/>
    <w:rsid w:val="00E967FF"/>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51AD"/>
    <w:rsid w:val="00EB603D"/>
    <w:rsid w:val="00EB76A0"/>
    <w:rsid w:val="00EB7BD8"/>
    <w:rsid w:val="00EC07B2"/>
    <w:rsid w:val="00EC0E51"/>
    <w:rsid w:val="00EC0F59"/>
    <w:rsid w:val="00EC130D"/>
    <w:rsid w:val="00EC2582"/>
    <w:rsid w:val="00EC329B"/>
    <w:rsid w:val="00EC4765"/>
    <w:rsid w:val="00EC50F6"/>
    <w:rsid w:val="00EC58E5"/>
    <w:rsid w:val="00EC65F9"/>
    <w:rsid w:val="00EC6AE4"/>
    <w:rsid w:val="00EC6D14"/>
    <w:rsid w:val="00EC6EB7"/>
    <w:rsid w:val="00ED0020"/>
    <w:rsid w:val="00ED013A"/>
    <w:rsid w:val="00ED01E8"/>
    <w:rsid w:val="00ED088E"/>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3E41"/>
    <w:rsid w:val="00FF4FFA"/>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1264"/>
  <w15:docId w15:val="{45679AD7-C4E8-4D74-AEFC-99B14111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 w:type="character" w:customStyle="1" w:styleId="IMMR3Char">
    <w:name w:val="IMMR3 Char"/>
    <w:basedOn w:val="DefaultParagraphFont"/>
    <w:link w:val="IMMR3"/>
    <w:locked/>
    <w:rsid w:val="0020067D"/>
    <w:rPr>
      <w:rFonts w:ascii="Calibri" w:hAnsi="Calibri"/>
      <w:color w:val="000000"/>
    </w:rPr>
  </w:style>
  <w:style w:type="paragraph" w:customStyle="1" w:styleId="IMMR3">
    <w:name w:val="IMMR3"/>
    <w:basedOn w:val="Normal"/>
    <w:link w:val="IMMR3Char"/>
    <w:rsid w:val="0020067D"/>
    <w:rPr>
      <w:rFonts w:ascii="Calibri" w:hAnsi="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08160845">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26435688">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871232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1569187">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3943109">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2749978">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13690337">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5655833">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0310894">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5917764">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17183200">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2247147">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2927358">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1936631">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76813936">
      <w:bodyDiv w:val="1"/>
      <w:marLeft w:val="0"/>
      <w:marRight w:val="0"/>
      <w:marTop w:val="0"/>
      <w:marBottom w:val="0"/>
      <w:divBdr>
        <w:top w:val="none" w:sz="0" w:space="0" w:color="auto"/>
        <w:left w:val="none" w:sz="0" w:space="0" w:color="auto"/>
        <w:bottom w:val="none" w:sz="0" w:space="0" w:color="auto"/>
        <w:right w:val="none" w:sz="0" w:space="0" w:color="auto"/>
      </w:divBdr>
    </w:div>
    <w:div w:id="884365268">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0666772">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097097390">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6440387">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6975235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5795358">
      <w:bodyDiv w:val="1"/>
      <w:marLeft w:val="0"/>
      <w:marRight w:val="0"/>
      <w:marTop w:val="0"/>
      <w:marBottom w:val="0"/>
      <w:divBdr>
        <w:top w:val="none" w:sz="0" w:space="0" w:color="auto"/>
        <w:left w:val="none" w:sz="0" w:space="0" w:color="auto"/>
        <w:bottom w:val="none" w:sz="0" w:space="0" w:color="auto"/>
        <w:right w:val="none" w:sz="0" w:space="0" w:color="auto"/>
      </w:divBdr>
    </w:div>
    <w:div w:id="1297880698">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31329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678386">
      <w:bodyDiv w:val="1"/>
      <w:marLeft w:val="0"/>
      <w:marRight w:val="0"/>
      <w:marTop w:val="0"/>
      <w:marBottom w:val="0"/>
      <w:divBdr>
        <w:top w:val="none" w:sz="0" w:space="0" w:color="auto"/>
        <w:left w:val="none" w:sz="0" w:space="0" w:color="auto"/>
        <w:bottom w:val="none" w:sz="0" w:space="0" w:color="auto"/>
        <w:right w:val="none" w:sz="0" w:space="0" w:color="auto"/>
      </w:divBdr>
    </w:div>
    <w:div w:id="1348868040">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2720802">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3008440">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08932827">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607225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1308468">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0867568">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83924387">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5665499">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38041447">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64400436">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7481670">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A12ED-ECA1-4958-AAFE-B0DDD719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15</Pages>
  <Words>4248</Words>
  <Characters>24214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2018-12-29T16:35:00Z</cp:lastPrinted>
  <dcterms:created xsi:type="dcterms:W3CDTF">2018-12-29T16:41:00Z</dcterms:created>
  <dcterms:modified xsi:type="dcterms:W3CDTF">2018-12-29T16:41:00Z</dcterms:modified>
</cp:coreProperties>
</file>