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image/x-emf" PartName="/word/media/image1.em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adjustRightInd w:val="0"/>
        <w:snapToGrid w:val="0"/>
        <w:spacing w:before="120" w:after="120" w:line="240" w:lineRule="auto"/>
        <w:jc w:val="center"/>
        <w:rPr>
          <w:rFonts w:cs="Calibri"/>
          <w:highlight w:val="none"/>
        </w:rPr>
      </w:pPr>
      <w:r>
        <w:rPr>
          <w:rFonts w:ascii="Calibri" w:hAnsi="Calibri" w:cs="Calibri"/>
          <w:sz w:val="22"/>
          <w:szCs w:val="22"/>
          <w:highlight w:val="none"/>
          <w:lang w:val="en-US" w:eastAsia="ja-JP" w:bidi="ar-SA"/>
        </w:rPr>
        <w:pict>
          <v:shape id="Image 3" o:spid="_x0000_s1026" type="#_x0000_t75" style="height:74.8pt;width:156.1pt;rotation:0f;" o:ole="f" fillcolor="#FFFFFF" filled="f" o:preferrelative="t" stroked="f" coordorigin="0,0" coordsize="21600,21600">
            <v:fill on="f" color2="#FFFFFF" focus="0%"/>
            <v:imagedata cropleft="7568f" croptop="6520f" cropright="6970f" gain="65536f" blacklevel="0f" gamma="0" o:title="" r:id="rId6"/>
            <o:lock v:ext="edit" position="f" selection="f" grouping="f" rotation="f" cropping="f" text="f" aspectratio="t"/>
            <w10:wrap type="none"/>
            <w10:anchorlock/>
          </v:shape>
        </w:pict>
      </w:r>
    </w:p>
    <w:p>
      <w:pPr>
        <w:adjustRightInd w:val="0"/>
        <w:snapToGrid w:val="0"/>
        <w:spacing w:before="120" w:after="120" w:line="240" w:lineRule="auto"/>
        <w:jc w:val="center"/>
        <w:rPr>
          <w:rFonts w:cs="Calibri"/>
          <w:b/>
          <w:bCs/>
          <w:highlight w:val="none"/>
        </w:rPr>
      </w:pPr>
      <w:r>
        <w:rPr>
          <w:rFonts w:cs="Calibri"/>
          <w:b/>
          <w:bCs/>
          <w:highlight w:val="none"/>
        </w:rPr>
        <w:t>Terms of Reference</w:t>
      </w:r>
    </w:p>
    <w:p>
      <w:pPr>
        <w:adjustRightInd w:val="0"/>
        <w:snapToGrid w:val="0"/>
        <w:spacing w:before="120" w:after="120" w:line="240" w:lineRule="auto"/>
        <w:jc w:val="center"/>
        <w:rPr>
          <w:rFonts w:cs="Calibri"/>
          <w:highlight w:val="none"/>
        </w:rPr>
      </w:pPr>
      <w:r>
        <w:rPr>
          <w:rFonts w:cs="Calibri"/>
          <w:highlight w:val="none"/>
        </w:rPr>
        <w:t>D</w:t>
      </w:r>
      <w:r>
        <w:rPr>
          <w:rFonts w:cs="Calibri"/>
          <w:highlight w:val="none"/>
          <w:lang/>
        </w:rPr>
        <w:t>evelop a stakeholder mapping exercise on the prevention of violent extremism (PVE) and countering violent extremism (CVE)</w:t>
      </w:r>
    </w:p>
    <w:p>
      <w:pPr>
        <w:pStyle w:val="10"/>
        <w:numPr>
          <w:ilvl w:val="0"/>
          <w:numId w:val="2"/>
        </w:numPr>
        <w:adjustRightInd w:val="0"/>
        <w:snapToGrid w:val="0"/>
        <w:spacing w:before="120" w:after="120" w:line="240" w:lineRule="auto"/>
        <w:rPr>
          <w:rFonts w:cs="Calibri"/>
          <w:b/>
          <w:bCs/>
          <w:highlight w:val="none"/>
        </w:rPr>
      </w:pPr>
      <w:r>
        <w:rPr>
          <w:rFonts w:cs="Calibri"/>
          <w:b/>
          <w:bCs/>
          <w:highlight w:val="none"/>
        </w:rPr>
        <w:t xml:space="preserve">Background </w:t>
      </w:r>
    </w:p>
    <w:p>
      <w:pPr>
        <w:adjustRightInd w:val="0"/>
        <w:snapToGrid w:val="0"/>
        <w:spacing w:before="120" w:after="120" w:line="240" w:lineRule="auto"/>
        <w:rPr>
          <w:rFonts w:cs="Calibri"/>
          <w:color w:val="000000"/>
          <w:highlight w:val="none"/>
        </w:rPr>
      </w:pPr>
      <w:r>
        <w:rPr>
          <w:rFonts w:cs="Calibri"/>
          <w:color w:val="000000"/>
          <w:highlight w:val="none"/>
        </w:rPr>
        <w:t>Following the defeat of the so-called Islamic State in Iraq and the Levant (ISIL) in December 2017, conflict affected areas in Iraq witnessed significant waves of return. However, around 1.8 million Internally Displaced Persons (IDPs) are still unable to return for number of reasons. The fear of retaliation or revenge as a result of generalized accusa</w:t>
      </w:r>
      <w:bookmarkStart w:id="0" w:name="_GoBack"/>
      <w:bookmarkEnd w:id="0"/>
      <w:r>
        <w:rPr>
          <w:rFonts w:cs="Calibri"/>
          <w:color w:val="000000"/>
          <w:highlight w:val="none"/>
        </w:rPr>
        <w:t xml:space="preserve">tions against families suspected of affiliation with ISIL is a major factor blocking the return of many of these families. To date, the exact number of these families is still unknown. These families are residing in camps across Iraq or in secondary displacement after the closures of several camps. </w:t>
      </w:r>
    </w:p>
    <w:p>
      <w:pPr>
        <w:adjustRightInd w:val="0"/>
        <w:snapToGrid w:val="0"/>
        <w:spacing w:before="120" w:after="120" w:line="240" w:lineRule="auto"/>
        <w:rPr>
          <w:rFonts w:cs="Calibri"/>
          <w:color w:val="000000"/>
          <w:highlight w:val="none"/>
        </w:rPr>
      </w:pPr>
      <w:r>
        <w:rPr>
          <w:rFonts w:cs="Calibri"/>
          <w:color w:val="000000"/>
          <w:highlight w:val="none"/>
        </w:rPr>
        <w:t>Those who are formally accused of committing crimes under the name of the Islamic State need to go through a fair judicial process, and have their name cleared if they are found innocent. Nonetheless, the reintegration of all individuals who did not engage in any criminal activity is still problematic as they are being rejected by their community based on their perceived affiliation or because of the exactions committed by one member of the family. In addition to this social aspect, their reintegration is also conditioned by the rehabilitation of these families as many are female headed household who do not have sources of income. They also suffered from highly traumatic experiences and are in need of psycho-social support. Therefore, their reintegration appears as particularly complex, but if left in isolation, these families are at risk of further marginalization, which could lead to (re)radicalization and a possible new wave of violent extremism.</w:t>
      </w:r>
    </w:p>
    <w:p>
      <w:pPr>
        <w:adjustRightInd w:val="0"/>
        <w:snapToGrid w:val="0"/>
        <w:spacing w:before="120" w:after="120" w:line="240" w:lineRule="auto"/>
        <w:rPr>
          <w:rFonts w:cs="Calibri"/>
          <w:highlight w:val="none"/>
        </w:rPr>
      </w:pPr>
      <w:r>
        <w:rPr>
          <w:rFonts w:cs="Calibri"/>
          <w:highlight w:val="none"/>
        </w:rPr>
        <w:t>Important policy debates around the world includes the repatriation of foreign fighters and “ISIL-affiliated” families coming from outside of Iraq and Syria. Camps like Al-Hawl, in Syria, currently house over 70,000 people from over 60 countries. About 70% of these residents – that is, around 50,000 – are children. To date, only about 15 countries have stepped up to the plate to address the fact that their citizens, and former members of the Islamic State, are in prisons in northeastern Syria. As the countries struggle to rebuild amidst an active conflict, addressing the issues of ISIL fighters and rehabilitation and reintegration of their families and other displaced people are critical. A way forward of these challenges is an international, regional, national, and local challenge that requires community-based solutions reflecting community contexts.</w:t>
      </w:r>
    </w:p>
    <w:p>
      <w:pPr>
        <w:pStyle w:val="10"/>
        <w:numPr>
          <w:ilvl w:val="0"/>
          <w:numId w:val="2"/>
        </w:numPr>
        <w:adjustRightInd w:val="0"/>
        <w:snapToGrid w:val="0"/>
        <w:spacing w:before="120" w:after="120" w:line="240" w:lineRule="auto"/>
        <w:rPr>
          <w:rFonts w:cs="Calibri"/>
          <w:b/>
          <w:bCs/>
          <w:highlight w:val="none"/>
        </w:rPr>
      </w:pPr>
      <w:r>
        <w:rPr>
          <w:rFonts w:cs="Calibri"/>
          <w:b/>
          <w:bCs/>
          <w:highlight w:val="none"/>
        </w:rPr>
        <w:t>Objectives</w:t>
      </w:r>
    </w:p>
    <w:p>
      <w:pPr>
        <w:adjustRightInd w:val="0"/>
        <w:snapToGrid w:val="0"/>
        <w:spacing w:before="120" w:after="120" w:line="240" w:lineRule="auto"/>
        <w:rPr>
          <w:rFonts w:cs="Calibri"/>
          <w:highlight w:val="none"/>
        </w:rPr>
      </w:pPr>
      <w:r>
        <w:rPr>
          <w:rFonts w:cs="Calibri"/>
          <w:highlight w:val="none"/>
        </w:rPr>
        <w:t>This project aims at:</w:t>
      </w:r>
    </w:p>
    <w:p>
      <w:pPr>
        <w:pStyle w:val="10"/>
        <w:numPr>
          <w:ilvl w:val="0"/>
          <w:numId w:val="3"/>
        </w:numPr>
        <w:adjustRightInd w:val="0"/>
        <w:snapToGrid w:val="0"/>
        <w:spacing w:before="120" w:after="120" w:line="240" w:lineRule="auto"/>
        <w:ind w:left="714" w:hanging="357"/>
        <w:rPr>
          <w:rFonts w:cs="Calibri"/>
          <w:highlight w:val="none"/>
        </w:rPr>
      </w:pPr>
      <w:r>
        <w:rPr>
          <w:rFonts w:cs="Calibri"/>
          <w:highlight w:val="none"/>
        </w:rPr>
        <w:t xml:space="preserve">Understanding community-specific context of the ongoing and potential repatriation and reintegration of “ISIL-affiliated” families </w:t>
      </w:r>
      <w:r>
        <w:rPr>
          <w:rFonts w:cs="Calibri"/>
          <w:highlight w:val="none"/>
        </w:rPr>
        <w:t>in target locations</w:t>
      </w:r>
      <w:r>
        <w:rPr>
          <w:rFonts w:cs="Calibri"/>
          <w:highlight w:val="none"/>
        </w:rPr>
        <w:t xml:space="preserve"> to provide a direct assessment of subnational needs, challenges and areas for development in relation to violent extremism, on the basis of both community-driven approach and reflection of international best practice across the world. </w:t>
      </w:r>
    </w:p>
    <w:p>
      <w:pPr>
        <w:pStyle w:val="10"/>
        <w:numPr>
          <w:ilvl w:val="0"/>
          <w:numId w:val="3"/>
        </w:numPr>
        <w:adjustRightInd w:val="0"/>
        <w:snapToGrid w:val="0"/>
        <w:spacing w:before="120" w:after="120" w:line="240" w:lineRule="auto"/>
        <w:ind w:left="714" w:hanging="357"/>
        <w:rPr>
          <w:rFonts w:cs="Calibri"/>
          <w:highlight w:val="none"/>
        </w:rPr>
      </w:pPr>
      <w:r>
        <w:rPr>
          <w:rFonts w:cs="Calibri"/>
          <w:highlight w:val="none"/>
        </w:rPr>
        <w:t xml:space="preserve">Providing recommendation of community-led and community-contextualized approach to IOM and relevant stakeholders. Outcomes and recommended next steps are expected to vary </w:t>
      </w:r>
      <w:r>
        <w:rPr>
          <w:rFonts w:cs="Calibri"/>
          <w:highlight w:val="none"/>
        </w:rPr>
        <w:t>from one city to the next</w:t>
      </w:r>
      <w:r>
        <w:rPr>
          <w:rFonts w:cs="Calibri"/>
          <w:highlight w:val="none"/>
        </w:rPr>
        <w:t xml:space="preserve">, according to relevant needs and contexts. This approach must be uniquely tailored to local specificities, requiring intensive local engagement in one city while being scalable to regional and global delivery models across varying city-level P/CVE practice. </w:t>
      </w:r>
    </w:p>
    <w:p>
      <w:pPr>
        <w:pStyle w:val="10"/>
        <w:numPr>
          <w:ilvl w:val="0"/>
          <w:numId w:val="2"/>
        </w:numPr>
        <w:adjustRightInd w:val="0"/>
        <w:snapToGrid w:val="0"/>
        <w:spacing w:before="120" w:after="120" w:line="240" w:lineRule="auto"/>
        <w:rPr>
          <w:rFonts w:cs="Calibri"/>
          <w:b/>
          <w:bCs/>
          <w:highlight w:val="none"/>
        </w:rPr>
      </w:pPr>
      <w:r>
        <w:rPr>
          <w:rFonts w:cs="Calibri"/>
          <w:b/>
          <w:bCs/>
          <w:highlight w:val="none"/>
        </w:rPr>
        <w:t>Scope of Work</w:t>
      </w:r>
    </w:p>
    <w:p>
      <w:pPr>
        <w:adjustRightInd w:val="0"/>
        <w:snapToGrid w:val="0"/>
        <w:spacing w:before="120" w:after="120" w:line="240" w:lineRule="auto"/>
        <w:rPr>
          <w:rFonts w:cs="Calibri"/>
          <w:highlight w:val="none"/>
        </w:rPr>
      </w:pPr>
      <w:r>
        <w:rPr>
          <w:rFonts w:cs="Calibri"/>
          <w:b/>
          <w:bCs/>
          <w:i/>
          <w:iCs/>
          <w:highlight w:val="none"/>
        </w:rPr>
        <w:t>Duration:</w:t>
      </w:r>
      <w:r>
        <w:rPr>
          <w:rFonts w:cs="Calibri"/>
          <w:b/>
          <w:bCs/>
          <w:highlight w:val="none"/>
        </w:rPr>
        <w:t xml:space="preserve"> </w:t>
      </w:r>
      <w:r>
        <w:rPr>
          <w:rFonts w:cs="Calibri"/>
          <w:highlight w:val="none"/>
        </w:rPr>
        <w:t>3-month period</w:t>
      </w:r>
    </w:p>
    <w:p>
      <w:pPr>
        <w:adjustRightInd w:val="0"/>
        <w:snapToGrid w:val="0"/>
        <w:spacing w:before="120" w:after="120" w:line="240" w:lineRule="auto"/>
        <w:rPr>
          <w:rFonts w:cs="Calibri"/>
          <w:highlight w:val="none"/>
        </w:rPr>
      </w:pPr>
      <w:r>
        <w:rPr>
          <w:rFonts w:cs="Calibri"/>
          <w:b/>
          <w:bCs/>
          <w:i/>
          <w:iCs/>
          <w:highlight w:val="none"/>
        </w:rPr>
        <w:t>Research location:</w:t>
      </w:r>
      <w:r>
        <w:rPr>
          <w:rFonts w:cs="Calibri"/>
          <w:b/>
          <w:bCs/>
          <w:highlight w:val="none"/>
        </w:rPr>
        <w:t xml:space="preserve"> </w:t>
      </w:r>
      <w:r>
        <w:rPr>
          <w:rFonts w:cs="Calibri"/>
          <w:highlight w:val="none"/>
        </w:rPr>
        <w:t>West Mosul</w:t>
      </w:r>
      <w:r>
        <w:rPr>
          <w:rFonts w:cs="Calibri"/>
          <w:highlight w:val="none"/>
          <w:lang w:val="en-UK"/>
        </w:rPr>
        <w:t xml:space="preserve"> (and other locations of your proposal, if you have, in consultation with IOM)</w:t>
      </w:r>
    </w:p>
    <w:p>
      <w:pPr>
        <w:pStyle w:val="10"/>
        <w:numPr>
          <w:ilvl w:val="0"/>
          <w:numId w:val="2"/>
        </w:numPr>
        <w:adjustRightInd w:val="0"/>
        <w:snapToGrid w:val="0"/>
        <w:spacing w:before="120" w:after="120" w:line="240" w:lineRule="auto"/>
        <w:rPr>
          <w:rFonts w:cs="Calibri"/>
          <w:b/>
          <w:bCs/>
          <w:highlight w:val="none"/>
        </w:rPr>
      </w:pPr>
      <w:r>
        <w:rPr>
          <w:rFonts w:cs="Calibri"/>
          <w:b/>
          <w:bCs/>
          <w:highlight w:val="none"/>
        </w:rPr>
        <w:t>Deliverables</w:t>
      </w:r>
    </w:p>
    <w:p>
      <w:pPr>
        <w:pStyle w:val="10"/>
        <w:numPr>
          <w:ilvl w:val="0"/>
          <w:numId w:val="4"/>
        </w:numPr>
        <w:adjustRightInd w:val="0"/>
        <w:snapToGrid w:val="0"/>
        <w:spacing w:before="120" w:after="120" w:line="240" w:lineRule="auto"/>
        <w:rPr>
          <w:rFonts w:cs="Calibri"/>
          <w:highlight w:val="none"/>
        </w:rPr>
      </w:pPr>
      <w:r>
        <w:rPr>
          <w:rFonts w:cs="Calibri"/>
          <w:highlight w:val="none"/>
        </w:rPr>
        <w:t xml:space="preserve">Report of in-depth consultation with relevant stakeholders in </w:t>
      </w:r>
      <w:r>
        <w:rPr>
          <w:rFonts w:cs="Calibri"/>
          <w:highlight w:val="none"/>
        </w:rPr>
        <w:t>target locations</w:t>
      </w:r>
      <w:r>
        <w:rPr>
          <w:rFonts w:cs="Calibri"/>
          <w:highlight w:val="none"/>
        </w:rPr>
        <w:t xml:space="preserve"> (</w:t>
      </w:r>
      <w:r>
        <w:rPr>
          <w:rFonts w:cs="Calibri"/>
          <w:highlight w:val="none"/>
        </w:rPr>
        <w:t>approximately 10 working days)</w:t>
      </w:r>
    </w:p>
    <w:p>
      <w:pPr>
        <w:pStyle w:val="10"/>
        <w:numPr>
          <w:ilvl w:val="0"/>
          <w:numId w:val="4"/>
        </w:numPr>
        <w:adjustRightInd w:val="0"/>
        <w:snapToGrid w:val="0"/>
        <w:spacing w:before="120" w:after="120" w:line="240" w:lineRule="auto"/>
        <w:rPr>
          <w:rFonts w:cs="Calibri"/>
          <w:highlight w:val="none"/>
        </w:rPr>
      </w:pPr>
      <w:r>
        <w:rPr>
          <w:rFonts w:cs="Calibri"/>
          <w:highlight w:val="none"/>
        </w:rPr>
        <w:t>Draft Final report including assessments, outcomes, and recommended next steps (after 25 days)</w:t>
      </w:r>
    </w:p>
    <w:p>
      <w:pPr>
        <w:pStyle w:val="10"/>
        <w:numPr>
          <w:ilvl w:val="0"/>
          <w:numId w:val="4"/>
        </w:numPr>
        <w:adjustRightInd w:val="0"/>
        <w:snapToGrid w:val="0"/>
        <w:spacing w:before="120" w:after="120" w:line="240" w:lineRule="auto"/>
        <w:rPr>
          <w:rFonts w:cs="Calibri"/>
          <w:highlight w:val="none"/>
        </w:rPr>
      </w:pPr>
      <w:r>
        <w:rPr>
          <w:rFonts w:cs="Calibri"/>
          <w:highlight w:val="none"/>
        </w:rPr>
        <w:t>Facilitation and presentation of the outcomes and recommended next steps to IOM and relevant stakeholders (Due date TBD)</w:t>
      </w:r>
    </w:p>
    <w:p>
      <w:pPr>
        <w:pStyle w:val="10"/>
        <w:numPr>
          <w:ilvl w:val="0"/>
          <w:numId w:val="4"/>
        </w:numPr>
        <w:adjustRightInd w:val="0"/>
        <w:snapToGrid w:val="0"/>
        <w:spacing w:before="120" w:after="120" w:line="240" w:lineRule="auto"/>
        <w:rPr>
          <w:rFonts w:cs="Calibri"/>
          <w:highlight w:val="none"/>
        </w:rPr>
      </w:pPr>
      <w:r>
        <w:rPr>
          <w:rFonts w:cs="Calibri"/>
          <w:highlight w:val="none"/>
        </w:rPr>
        <w:t>Final report including assessments, outcomes, and recommended next steps (Due date TBD)</w:t>
      </w:r>
    </w:p>
    <w:p>
      <w:pPr>
        <w:pStyle w:val="10"/>
        <w:numPr>
          <w:ilvl w:val="0"/>
          <w:numId w:val="2"/>
        </w:numPr>
        <w:adjustRightInd w:val="0"/>
        <w:snapToGrid w:val="0"/>
        <w:spacing w:before="120" w:after="120" w:line="240" w:lineRule="auto"/>
        <w:rPr>
          <w:rFonts w:cs="Calibri"/>
          <w:b/>
          <w:bCs/>
          <w:highlight w:val="none"/>
        </w:rPr>
      </w:pPr>
      <w:r>
        <w:rPr>
          <w:rFonts w:cs="Calibri"/>
          <w:b/>
          <w:bCs/>
          <w:highlight w:val="none"/>
        </w:rPr>
        <w:t xml:space="preserve">Reporting Requirement  </w:t>
      </w:r>
    </w:p>
    <w:p>
      <w:pPr>
        <w:adjustRightInd w:val="0"/>
        <w:snapToGrid w:val="0"/>
        <w:spacing w:before="120" w:after="120" w:line="240" w:lineRule="auto"/>
        <w:rPr>
          <w:rFonts w:cs="Calibri"/>
          <w:highlight w:val="none"/>
        </w:rPr>
      </w:pPr>
      <w:r>
        <w:rPr>
          <w:rFonts w:cs="Calibri"/>
          <w:highlight w:val="none"/>
        </w:rPr>
        <w:t xml:space="preserve">The selected agency will report to the Community Stabilization Unit, IOM Erbil Office, Iraq. It is required to coordinate with other units, stakeholders and IOM partners accordingly based on discussions with IOM. </w:t>
      </w:r>
    </w:p>
    <w:p>
      <w:pPr>
        <w:pStyle w:val="10"/>
        <w:numPr>
          <w:ilvl w:val="0"/>
          <w:numId w:val="2"/>
        </w:numPr>
        <w:adjustRightInd w:val="0"/>
        <w:snapToGrid w:val="0"/>
        <w:spacing w:before="120" w:after="120" w:line="240" w:lineRule="auto"/>
        <w:rPr>
          <w:rFonts w:cs="Calibri"/>
          <w:b/>
          <w:bCs/>
          <w:highlight w:val="none"/>
        </w:rPr>
      </w:pPr>
      <w:r>
        <w:rPr>
          <w:rFonts w:cs="Calibri"/>
          <w:b/>
          <w:bCs/>
          <w:highlight w:val="none"/>
        </w:rPr>
        <w:t>Selection Criteria</w:t>
      </w:r>
    </w:p>
    <w:p>
      <w:pPr>
        <w:adjustRightInd w:val="0"/>
        <w:snapToGrid w:val="0"/>
        <w:spacing w:before="120" w:after="120" w:line="240" w:lineRule="auto"/>
        <w:rPr>
          <w:rFonts w:cs="Calibri"/>
          <w:highlight w:val="none"/>
        </w:rPr>
      </w:pPr>
      <w:r>
        <w:rPr>
          <w:rFonts w:cs="Calibri"/>
          <w:highlight w:val="none"/>
        </w:rPr>
        <w:t>IOM will select one organization among the eligible candidates based on the followings criteria:</w:t>
      </w:r>
    </w:p>
    <w:p>
      <w:pPr>
        <w:adjustRightInd w:val="0"/>
        <w:snapToGrid w:val="0"/>
        <w:spacing w:before="120" w:after="120" w:line="240" w:lineRule="auto"/>
        <w:rPr>
          <w:rFonts w:cs="Calibri"/>
          <w:b/>
          <w:bCs/>
          <w:i/>
          <w:iCs/>
          <w:highlight w:val="none"/>
        </w:rPr>
      </w:pPr>
      <w:r>
        <w:rPr>
          <w:rFonts w:cs="Calibri"/>
          <w:b/>
          <w:bCs/>
          <w:i/>
          <w:iCs/>
          <w:highlight w:val="none"/>
        </w:rPr>
        <w:t>Technical Component (80%)</w:t>
      </w:r>
    </w:p>
    <w:p>
      <w:pPr>
        <w:pStyle w:val="10"/>
        <w:numPr>
          <w:ilvl w:val="0"/>
          <w:numId w:val="5"/>
        </w:numPr>
        <w:adjustRightInd w:val="0"/>
        <w:snapToGrid w:val="0"/>
        <w:spacing w:before="120" w:after="120" w:line="240" w:lineRule="auto"/>
        <w:rPr>
          <w:rFonts w:cs="Calibri"/>
          <w:highlight w:val="none"/>
        </w:rPr>
      </w:pPr>
      <w:r>
        <w:rPr>
          <w:rFonts w:cs="Calibri"/>
          <w:highlight w:val="none"/>
        </w:rPr>
        <w:t xml:space="preserve">Experience of research in </w:t>
      </w:r>
      <w:r>
        <w:rPr>
          <w:rFonts w:cs="Calibri"/>
          <w:highlight w:val="none"/>
          <w:lang/>
        </w:rPr>
        <w:t>the prevention of violent extremism (PVE) and countering violent extremism (CVE) worldwide</w:t>
      </w:r>
    </w:p>
    <w:p>
      <w:pPr>
        <w:pStyle w:val="10"/>
        <w:numPr>
          <w:ilvl w:val="0"/>
          <w:numId w:val="6"/>
        </w:numPr>
        <w:adjustRightInd w:val="0"/>
        <w:snapToGrid w:val="0"/>
        <w:spacing w:before="120" w:after="120" w:line="240" w:lineRule="auto"/>
        <w:ind w:right="386"/>
        <w:jc w:val="both"/>
        <w:rPr>
          <w:rFonts w:cs="Calibri"/>
          <w:highlight w:val="none"/>
        </w:rPr>
      </w:pPr>
      <w:r>
        <w:rPr>
          <w:rFonts w:cs="Calibri"/>
          <w:highlight w:val="none"/>
        </w:rPr>
        <w:t xml:space="preserve">In-depth knowledge of PVE and CVE particularly in Iraq </w:t>
      </w:r>
    </w:p>
    <w:p>
      <w:pPr>
        <w:pStyle w:val="10"/>
        <w:numPr>
          <w:ilvl w:val="0"/>
          <w:numId w:val="6"/>
        </w:numPr>
        <w:adjustRightInd w:val="0"/>
        <w:snapToGrid w:val="0"/>
        <w:spacing w:before="120" w:after="120" w:line="240" w:lineRule="auto"/>
        <w:ind w:right="386"/>
        <w:jc w:val="both"/>
        <w:rPr>
          <w:rFonts w:cs="Calibri"/>
          <w:highlight w:val="none"/>
        </w:rPr>
      </w:pPr>
      <w:r>
        <w:rPr>
          <w:rFonts w:cs="Calibri"/>
          <w:highlight w:val="none"/>
        </w:rPr>
        <w:t xml:space="preserve">Creative and innovative research design with Iraq-based and target location-specific approach </w:t>
      </w:r>
    </w:p>
    <w:p>
      <w:pPr>
        <w:pStyle w:val="10"/>
        <w:numPr>
          <w:ilvl w:val="0"/>
          <w:numId w:val="6"/>
        </w:numPr>
        <w:adjustRightInd w:val="0"/>
        <w:snapToGrid w:val="0"/>
        <w:spacing w:before="120" w:after="120" w:line="240" w:lineRule="auto"/>
        <w:ind w:right="386"/>
        <w:jc w:val="both"/>
        <w:rPr>
          <w:rFonts w:cs="Calibri"/>
          <w:highlight w:val="none"/>
        </w:rPr>
      </w:pPr>
      <w:r>
        <w:rPr>
          <w:rFonts w:cs="Calibri"/>
          <w:highlight w:val="none"/>
        </w:rPr>
        <w:t xml:space="preserve">Experience and knowledge of dealing with politically and socially sensitive issues. </w:t>
      </w:r>
    </w:p>
    <w:p>
      <w:pPr>
        <w:adjustRightInd w:val="0"/>
        <w:snapToGrid w:val="0"/>
        <w:spacing w:before="120" w:after="120" w:line="240" w:lineRule="auto"/>
        <w:rPr>
          <w:rFonts w:cs="Calibri"/>
          <w:b/>
          <w:bCs/>
          <w:i/>
          <w:iCs/>
          <w:highlight w:val="none"/>
        </w:rPr>
      </w:pPr>
      <w:r>
        <w:rPr>
          <w:rFonts w:cs="Calibri"/>
          <w:b/>
          <w:bCs/>
          <w:i/>
          <w:iCs/>
          <w:highlight w:val="none"/>
        </w:rPr>
        <w:t>Financial Component (20%)</w:t>
      </w:r>
    </w:p>
    <w:p>
      <w:pPr>
        <w:pStyle w:val="10"/>
        <w:numPr>
          <w:ilvl w:val="0"/>
          <w:numId w:val="6"/>
        </w:numPr>
        <w:adjustRightInd w:val="0"/>
        <w:snapToGrid w:val="0"/>
        <w:spacing w:before="120" w:after="120" w:line="240" w:lineRule="auto"/>
        <w:ind w:right="386"/>
        <w:jc w:val="both"/>
        <w:rPr>
          <w:rFonts w:cs="Calibri"/>
          <w:highlight w:val="none"/>
        </w:rPr>
      </w:pPr>
      <w:r>
        <w:rPr>
          <w:rFonts w:cs="Calibri"/>
          <w:highlight w:val="none"/>
        </w:rPr>
        <w:t xml:space="preserve">Clear and reasonable budget </w:t>
      </w:r>
    </w:p>
    <w:p>
      <w:pPr>
        <w:pStyle w:val="10"/>
        <w:numPr>
          <w:ilvl w:val="0"/>
          <w:numId w:val="6"/>
        </w:numPr>
        <w:adjustRightInd w:val="0"/>
        <w:snapToGrid w:val="0"/>
        <w:spacing w:before="120" w:after="120" w:line="240" w:lineRule="auto"/>
        <w:ind w:right="386"/>
        <w:jc w:val="both"/>
        <w:rPr>
          <w:rFonts w:cs="Calibri"/>
          <w:highlight w:val="none"/>
        </w:rPr>
      </w:pPr>
      <w:r>
        <w:rPr>
          <w:rFonts w:cs="Calibri"/>
          <w:highlight w:val="none"/>
        </w:rPr>
        <w:t>Efficiency in budget</w:t>
      </w:r>
    </w:p>
    <w:p>
      <w:pPr>
        <w:pStyle w:val="10"/>
        <w:numPr>
          <w:ilvl w:val="0"/>
          <w:numId w:val="2"/>
        </w:numPr>
        <w:adjustRightInd w:val="0"/>
        <w:snapToGrid w:val="0"/>
        <w:spacing w:before="120" w:after="120" w:line="240" w:lineRule="auto"/>
        <w:rPr>
          <w:rFonts w:cs="Calibri"/>
          <w:b/>
          <w:bCs/>
          <w:highlight w:val="none"/>
        </w:rPr>
      </w:pPr>
      <w:r>
        <w:rPr>
          <w:rFonts w:cs="Calibri"/>
          <w:b/>
          <w:bCs/>
          <w:highlight w:val="none"/>
        </w:rPr>
        <w:t xml:space="preserve">How to apply:  </w:t>
      </w:r>
    </w:p>
    <w:p>
      <w:pPr>
        <w:adjustRightInd w:val="0"/>
        <w:snapToGrid w:val="0"/>
        <w:spacing w:before="120" w:after="120" w:line="240" w:lineRule="auto"/>
        <w:rPr>
          <w:rFonts w:cs="Calibri"/>
          <w:b/>
          <w:bCs/>
          <w:strike/>
          <w:highlight w:val="none"/>
        </w:rPr>
      </w:pPr>
      <w:r>
        <w:rPr>
          <w:rFonts w:cs="Calibri"/>
          <w:highlight w:val="none"/>
        </w:rPr>
        <w:t xml:space="preserve">Please send following documents to: </w:t>
      </w:r>
      <w:r>
        <w:rPr>
          <w:rFonts w:ascii="Calibri" w:hAnsi="Calibri" w:eastAsia="SimSun" w:cs="Calibri"/>
          <w:i w:val="0"/>
          <w:caps w:val="0"/>
          <w:spacing w:val="0"/>
          <w:sz w:val="21"/>
          <w:szCs w:val="21"/>
          <w:highlight w:val="none"/>
        </w:rPr>
        <w:fldChar w:fldCharType="begin"/>
      </w:r>
      <w:r>
        <w:rPr>
          <w:rFonts w:ascii="Calibri" w:hAnsi="Calibri" w:eastAsia="SimSun" w:cs="Calibri"/>
          <w:i w:val="0"/>
          <w:caps w:val="0"/>
          <w:spacing w:val="0"/>
          <w:sz w:val="21"/>
          <w:szCs w:val="21"/>
          <w:highlight w:val="none"/>
        </w:rPr>
        <w:instrText xml:space="preserve"> HYPERLINK "https://webmail.iom.int/owa/redir.aspx?C=XsGlO6Xg-XDCaXL-opGrAfwu6XMkJADm09pXiIYqDnLe_PCngHHXCA..&amp;URL=mailto:IRAQCFP@iom.int" \t "https://webmail.iom.int/owa/_blank" </w:instrText>
      </w:r>
      <w:r>
        <w:rPr>
          <w:rFonts w:ascii="Calibri" w:hAnsi="Calibri" w:eastAsia="SimSun" w:cs="Calibri"/>
          <w:i w:val="0"/>
          <w:caps w:val="0"/>
          <w:spacing w:val="0"/>
          <w:sz w:val="21"/>
          <w:szCs w:val="21"/>
          <w:highlight w:val="none"/>
        </w:rPr>
        <w:fldChar w:fldCharType="separate"/>
      </w:r>
      <w:r>
        <w:rPr>
          <w:rStyle w:val="7"/>
          <w:rFonts w:hint="default" w:ascii="Calibri" w:hAnsi="Calibri" w:eastAsia="SimSun" w:cs="Calibri"/>
          <w:i w:val="0"/>
          <w:caps w:val="0"/>
          <w:spacing w:val="0"/>
          <w:sz w:val="21"/>
          <w:szCs w:val="21"/>
          <w:highlight w:val="none"/>
        </w:rPr>
        <w:t>IRAQCFP@iom.int</w:t>
      </w:r>
      <w:r>
        <w:rPr>
          <w:rFonts w:hint="default" w:ascii="Calibri" w:hAnsi="Calibri" w:eastAsia="SimSun" w:cs="Calibri"/>
          <w:i w:val="0"/>
          <w:caps w:val="0"/>
          <w:spacing w:val="0"/>
          <w:sz w:val="21"/>
          <w:szCs w:val="21"/>
          <w:highlight w:val="none"/>
        </w:rPr>
        <w:fldChar w:fldCharType="end"/>
      </w:r>
      <w:r>
        <w:rPr>
          <w:rFonts w:hint="default" w:eastAsia="SimSun" w:cs="Calibri"/>
          <w:b/>
          <w:bCs/>
          <w:i w:val="0"/>
          <w:caps w:val="0"/>
          <w:spacing w:val="0"/>
          <w:sz w:val="21"/>
          <w:szCs w:val="21"/>
          <w:highlight w:val="none"/>
          <w:lang w:val="en-UK"/>
        </w:rPr>
        <w:t xml:space="preserve"> by 17:00 (Iraq Time) on 11 December 2019</w:t>
      </w:r>
    </w:p>
    <w:p>
      <w:pPr>
        <w:pStyle w:val="10"/>
        <w:numPr>
          <w:ilvl w:val="0"/>
          <w:numId w:val="7"/>
        </w:numPr>
        <w:adjustRightInd w:val="0"/>
        <w:snapToGrid w:val="0"/>
        <w:spacing w:before="120" w:after="120" w:line="240" w:lineRule="auto"/>
        <w:ind w:right="386"/>
        <w:rPr>
          <w:rFonts w:cs="Calibri"/>
          <w:highlight w:val="none"/>
          <w:lang/>
        </w:rPr>
      </w:pPr>
      <w:r>
        <w:rPr>
          <w:rFonts w:cs="Calibri"/>
          <w:highlight w:val="none"/>
        </w:rPr>
        <w:t xml:space="preserve">Proposal, </w:t>
      </w:r>
    </w:p>
    <w:p>
      <w:pPr>
        <w:pStyle w:val="10"/>
        <w:numPr>
          <w:ilvl w:val="0"/>
          <w:numId w:val="7"/>
        </w:numPr>
        <w:adjustRightInd w:val="0"/>
        <w:snapToGrid w:val="0"/>
        <w:spacing w:before="120" w:after="120" w:line="240" w:lineRule="auto"/>
        <w:ind w:right="386"/>
        <w:rPr>
          <w:rFonts w:cs="Calibri"/>
          <w:highlight w:val="none"/>
          <w:lang/>
        </w:rPr>
      </w:pPr>
      <w:r>
        <w:rPr>
          <w:rFonts w:cs="Calibri"/>
          <w:highlight w:val="none"/>
        </w:rPr>
        <w:t xml:space="preserve">Work Plan, </w:t>
      </w:r>
    </w:p>
    <w:p>
      <w:pPr>
        <w:pStyle w:val="10"/>
        <w:numPr>
          <w:ilvl w:val="0"/>
          <w:numId w:val="7"/>
        </w:numPr>
        <w:adjustRightInd w:val="0"/>
        <w:snapToGrid w:val="0"/>
        <w:spacing w:before="120" w:after="120" w:line="240" w:lineRule="auto"/>
        <w:ind w:right="386"/>
        <w:rPr>
          <w:rFonts w:cs="Calibri"/>
          <w:highlight w:val="none"/>
          <w:lang/>
        </w:rPr>
      </w:pPr>
      <w:r>
        <w:rPr>
          <w:rFonts w:cs="Calibri"/>
          <w:highlight w:val="none"/>
        </w:rPr>
        <w:t xml:space="preserve">Budget, and </w:t>
      </w:r>
    </w:p>
    <w:p>
      <w:pPr>
        <w:adjustRightInd w:val="0"/>
        <w:snapToGrid w:val="0"/>
        <w:spacing w:before="120" w:after="120" w:line="240" w:lineRule="auto"/>
        <w:rPr>
          <w:rFonts w:cs="Calibri"/>
          <w:i/>
          <w:iCs/>
          <w:highlight w:val="none"/>
        </w:rPr>
      </w:pPr>
      <w:r>
        <w:rPr>
          <w:rFonts w:cs="Calibri"/>
          <w:i/>
          <w:iCs/>
          <w:highlight w:val="none"/>
        </w:rPr>
        <w:t xml:space="preserve">*Please make sure the email would not be sent back to you due to the large size of attachments. Please feel free to separate documents into multiple emails. </w:t>
      </w:r>
    </w:p>
    <w:p>
      <w:pPr>
        <w:adjustRightInd w:val="0"/>
        <w:snapToGrid w:val="0"/>
        <w:spacing w:before="120" w:after="120" w:line="240" w:lineRule="auto"/>
        <w:rPr>
          <w:rFonts w:cs="Calibri"/>
          <w:b/>
          <w:bCs/>
          <w:highlight w:val="none"/>
        </w:rPr>
      </w:pPr>
      <w:r>
        <w:rPr>
          <w:rFonts w:cs="Calibri"/>
          <w:highlight w:val="none"/>
        </w:rPr>
        <w:t xml:space="preserve">IOM will review the proposals based on the above selection criteria. Only the selected candidate will be contacted. </w:t>
      </w:r>
    </w:p>
    <w:sectPr>
      <w:footerReference r:id="rId4" w:type="default"/>
      <w:pgSz w:w="12240" w:h="15840"/>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Century">
    <w:altName w:val="Times New Roman"/>
    <w:panose1 w:val="02040604050505020304"/>
    <w:charset w:val="00"/>
    <w:family w:val="roman"/>
    <w:pitch w:val="default"/>
    <w:sig w:usb0="00000287" w:usb1="00000000" w:usb2="00000000" w:usb3="00000000" w:csb0="2000009F" w:csb1="DFD70000"/>
  </w:font>
  <w:font w:name="MS Mincho">
    <w:panose1 w:val="02020609040205080304"/>
    <w:charset w:val="80"/>
    <w:family w:val="auto"/>
    <w:pitch w:val="default"/>
    <w:sig w:usb0="E00002FF" w:usb1="6AC7FDFB" w:usb2="08000012" w:usb3="00000000" w:csb0="4002009F" w:csb1="DFD7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MS Gothic">
    <w:panose1 w:val="020B0609070205080204"/>
    <w:charset w:val="80"/>
    <w:family w:val="modern"/>
    <w:pitch w:val="default"/>
    <w:sig w:usb0="E00002FF" w:usb1="6AC7FDFB" w:usb2="08000012" w:usb3="00000000" w:csb0="4002009F" w:csb1="DFD7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auto"/>
    <w:pitch w:val="default"/>
    <w:sig w:usb0="00000000" w:usb1="00000000" w:usb2="00000000" w:usb3="00000000" w:csb0="80000000" w:csb1="00000000"/>
  </w:font>
  <w:font w:name="Calibri">
    <w:panose1 w:val="020F0502020204030204"/>
    <w:charset w:val="00"/>
    <w:family w:val="auto"/>
    <w:pitch w:val="default"/>
    <w:sig w:usb0="E0002A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Calibri Light">
    <w:panose1 w:val="020F03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jc w:val="center"/>
    </w:pPr>
    <w:r>
      <w:fldChar w:fldCharType="begin"/>
    </w:r>
    <w:r>
      <w:instrText xml:space="preserve"> PAGE   \* MERGEFORMAT </w:instrText>
    </w:r>
    <w:r>
      <w:fldChar w:fldCharType="separate"/>
    </w:r>
    <w:r>
      <w:t>2</w:t>
    </w:r>
    <w:r>
      <w:fldChar w:fldCharType="end"/>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9552401">
    <w:nsid w:val="012A5891"/>
    <w:multiLevelType w:val="multilevel"/>
    <w:tmpl w:val="012A5891"/>
    <w:lvl w:ilvl="0" w:tentative="1">
      <w:start w:val="1"/>
      <w:numFmt w:val="bullet"/>
      <w:lvlText w:val=""/>
      <w:lvlJc w:val="left"/>
      <w:pPr>
        <w:ind w:left="720" w:hanging="360"/>
      </w:pPr>
      <w:rPr>
        <w:rFonts w:hint="default" w:ascii="Symbol" w:hAnsi="Symbol"/>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20859592">
    <w:nsid w:val="013E4AC8"/>
    <w:multiLevelType w:val="multilevel"/>
    <w:tmpl w:val="013E4AC8"/>
    <w:lvl w:ilvl="0" w:tentative="1">
      <w:start w:val="1"/>
      <w:numFmt w:val="bullet"/>
      <w:lvlText w:val=""/>
      <w:lvlJc w:val="left"/>
      <w:pPr>
        <w:ind w:left="360" w:hanging="360"/>
      </w:pPr>
      <w:rPr>
        <w:rFonts w:hint="default" w:ascii="Symbol" w:hAnsi="Symbol"/>
      </w:rPr>
    </w:lvl>
    <w:lvl w:ilvl="1" w:tentative="1">
      <w:start w:val="1"/>
      <w:numFmt w:val="bullet"/>
      <w:lvlText w:val="o"/>
      <w:lvlJc w:val="left"/>
      <w:pPr>
        <w:ind w:left="1080" w:hanging="360"/>
      </w:pPr>
      <w:rPr>
        <w:rFonts w:hint="default" w:ascii="Courier New" w:hAnsi="Courier New" w:cs="Courier New"/>
      </w:rPr>
    </w:lvl>
    <w:lvl w:ilvl="2" w:tentative="1">
      <w:start w:val="1"/>
      <w:numFmt w:val="bullet"/>
      <w:lvlText w:val=""/>
      <w:lvlJc w:val="left"/>
      <w:pPr>
        <w:ind w:left="1800" w:hanging="360"/>
      </w:pPr>
      <w:rPr>
        <w:rFonts w:hint="default" w:ascii="Wingdings" w:hAnsi="Wingdings"/>
      </w:rPr>
    </w:lvl>
    <w:lvl w:ilvl="3" w:tentative="1">
      <w:start w:val="1"/>
      <w:numFmt w:val="bullet"/>
      <w:lvlText w:val=""/>
      <w:lvlJc w:val="left"/>
      <w:pPr>
        <w:ind w:left="2520" w:hanging="360"/>
      </w:pPr>
      <w:rPr>
        <w:rFonts w:hint="default" w:ascii="Symbol" w:hAnsi="Symbol"/>
      </w:rPr>
    </w:lvl>
    <w:lvl w:ilvl="4" w:tentative="1">
      <w:start w:val="1"/>
      <w:numFmt w:val="bullet"/>
      <w:lvlText w:val="o"/>
      <w:lvlJc w:val="left"/>
      <w:pPr>
        <w:ind w:left="3240" w:hanging="360"/>
      </w:pPr>
      <w:rPr>
        <w:rFonts w:hint="default" w:ascii="Courier New" w:hAnsi="Courier New" w:cs="Courier New"/>
      </w:rPr>
    </w:lvl>
    <w:lvl w:ilvl="5" w:tentative="1">
      <w:start w:val="1"/>
      <w:numFmt w:val="bullet"/>
      <w:lvlText w:val=""/>
      <w:lvlJc w:val="left"/>
      <w:pPr>
        <w:ind w:left="3960" w:hanging="360"/>
      </w:pPr>
      <w:rPr>
        <w:rFonts w:hint="default" w:ascii="Wingdings" w:hAnsi="Wingdings"/>
      </w:rPr>
    </w:lvl>
    <w:lvl w:ilvl="6" w:tentative="1">
      <w:start w:val="1"/>
      <w:numFmt w:val="bullet"/>
      <w:lvlText w:val=""/>
      <w:lvlJc w:val="left"/>
      <w:pPr>
        <w:ind w:left="4680" w:hanging="360"/>
      </w:pPr>
      <w:rPr>
        <w:rFonts w:hint="default" w:ascii="Symbol" w:hAnsi="Symbol"/>
      </w:rPr>
    </w:lvl>
    <w:lvl w:ilvl="7" w:tentative="1">
      <w:start w:val="1"/>
      <w:numFmt w:val="bullet"/>
      <w:lvlText w:val="o"/>
      <w:lvlJc w:val="left"/>
      <w:pPr>
        <w:ind w:left="5400" w:hanging="360"/>
      </w:pPr>
      <w:rPr>
        <w:rFonts w:hint="default" w:ascii="Courier New" w:hAnsi="Courier New" w:cs="Courier New"/>
      </w:rPr>
    </w:lvl>
    <w:lvl w:ilvl="8" w:tentative="1">
      <w:start w:val="1"/>
      <w:numFmt w:val="bullet"/>
      <w:lvlText w:val=""/>
      <w:lvlJc w:val="left"/>
      <w:pPr>
        <w:ind w:left="6120" w:hanging="360"/>
      </w:pPr>
      <w:rPr>
        <w:rFonts w:hint="default" w:ascii="Wingdings" w:hAnsi="Wingdings"/>
      </w:rPr>
    </w:lvl>
  </w:abstractNum>
  <w:abstractNum w:abstractNumId="516696820">
    <w:nsid w:val="1ECC2AF4"/>
    <w:multiLevelType w:val="multilevel"/>
    <w:tmpl w:val="1ECC2AF4"/>
    <w:lvl w:ilvl="0" w:tentative="1">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790174023">
    <w:nsid w:val="2F191947"/>
    <w:multiLevelType w:val="multilevel"/>
    <w:tmpl w:val="2F191947"/>
    <w:lvl w:ilvl="0" w:tentative="1">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72131657">
    <w:nsid w:val="4BD33049"/>
    <w:multiLevelType w:val="multilevel"/>
    <w:tmpl w:val="4BD33049"/>
    <w:lvl w:ilvl="0" w:tentative="1">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113325">
    <w:nsid w:val="01CB7E2D"/>
    <w:multiLevelType w:val="multilevel"/>
    <w:tmpl w:val="01CB7E2D"/>
    <w:lvl w:ilvl="0" w:tentative="1">
      <w:start w:val="1"/>
      <w:numFmt w:val="bullet"/>
      <w:lvlText w:val=""/>
      <w:lvlJc w:val="left"/>
      <w:pPr>
        <w:ind w:left="360" w:hanging="360"/>
      </w:pPr>
      <w:rPr>
        <w:rFonts w:hint="default" w:ascii="Symbol" w:hAnsi="Symbol"/>
      </w:rPr>
    </w:lvl>
    <w:lvl w:ilvl="1" w:tentative="1">
      <w:start w:val="1"/>
      <w:numFmt w:val="bullet"/>
      <w:lvlText w:val="o"/>
      <w:lvlJc w:val="left"/>
      <w:pPr>
        <w:ind w:left="1080" w:hanging="360"/>
      </w:pPr>
      <w:rPr>
        <w:rFonts w:hint="default" w:ascii="Courier New" w:hAnsi="Courier New" w:cs="Courier New"/>
      </w:rPr>
    </w:lvl>
    <w:lvl w:ilvl="2" w:tentative="1">
      <w:start w:val="1"/>
      <w:numFmt w:val="bullet"/>
      <w:lvlText w:val=""/>
      <w:lvlJc w:val="left"/>
      <w:pPr>
        <w:ind w:left="1800" w:hanging="360"/>
      </w:pPr>
      <w:rPr>
        <w:rFonts w:hint="default" w:ascii="Wingdings" w:hAnsi="Wingdings"/>
      </w:rPr>
    </w:lvl>
    <w:lvl w:ilvl="3" w:tentative="1">
      <w:start w:val="1"/>
      <w:numFmt w:val="bullet"/>
      <w:lvlText w:val=""/>
      <w:lvlJc w:val="left"/>
      <w:pPr>
        <w:ind w:left="2520" w:hanging="360"/>
      </w:pPr>
      <w:rPr>
        <w:rFonts w:hint="default" w:ascii="Symbol" w:hAnsi="Symbol"/>
      </w:rPr>
    </w:lvl>
    <w:lvl w:ilvl="4" w:tentative="1">
      <w:start w:val="1"/>
      <w:numFmt w:val="bullet"/>
      <w:lvlText w:val="o"/>
      <w:lvlJc w:val="left"/>
      <w:pPr>
        <w:ind w:left="3240" w:hanging="360"/>
      </w:pPr>
      <w:rPr>
        <w:rFonts w:hint="default" w:ascii="Courier New" w:hAnsi="Courier New" w:cs="Courier New"/>
      </w:rPr>
    </w:lvl>
    <w:lvl w:ilvl="5" w:tentative="1">
      <w:start w:val="1"/>
      <w:numFmt w:val="bullet"/>
      <w:lvlText w:val=""/>
      <w:lvlJc w:val="left"/>
      <w:pPr>
        <w:ind w:left="3960" w:hanging="360"/>
      </w:pPr>
      <w:rPr>
        <w:rFonts w:hint="default" w:ascii="Wingdings" w:hAnsi="Wingdings"/>
      </w:rPr>
    </w:lvl>
    <w:lvl w:ilvl="6" w:tentative="1">
      <w:start w:val="1"/>
      <w:numFmt w:val="bullet"/>
      <w:lvlText w:val=""/>
      <w:lvlJc w:val="left"/>
      <w:pPr>
        <w:ind w:left="4680" w:hanging="360"/>
      </w:pPr>
      <w:rPr>
        <w:rFonts w:hint="default" w:ascii="Symbol" w:hAnsi="Symbol"/>
      </w:rPr>
    </w:lvl>
    <w:lvl w:ilvl="7" w:tentative="1">
      <w:start w:val="1"/>
      <w:numFmt w:val="bullet"/>
      <w:lvlText w:val="o"/>
      <w:lvlJc w:val="left"/>
      <w:pPr>
        <w:ind w:left="5400" w:hanging="360"/>
      </w:pPr>
      <w:rPr>
        <w:rFonts w:hint="default" w:ascii="Courier New" w:hAnsi="Courier New" w:cs="Courier New"/>
      </w:rPr>
    </w:lvl>
    <w:lvl w:ilvl="8" w:tentative="1">
      <w:start w:val="1"/>
      <w:numFmt w:val="bullet"/>
      <w:lvlText w:val=""/>
      <w:lvlJc w:val="left"/>
      <w:pPr>
        <w:ind w:left="6120" w:hanging="360"/>
      </w:pPr>
      <w:rPr>
        <w:rFonts w:hint="default" w:ascii="Wingdings" w:hAnsi="Wingdings"/>
      </w:rPr>
    </w:lvl>
  </w:abstractNum>
  <w:abstractNum w:abstractNumId="1975137180">
    <w:nsid w:val="75BA339C"/>
    <w:multiLevelType w:val="multilevel"/>
    <w:tmpl w:val="75BA339C"/>
    <w:lvl w:ilvl="0" w:tentative="1">
      <w:start w:val="1"/>
      <w:numFmt w:val="decimal"/>
      <w:pStyle w:val="11"/>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abstractNumId w:val="1975137180"/>
  </w:num>
  <w:num w:numId="2">
    <w:abstractNumId w:val="516696820"/>
  </w:num>
  <w:num w:numId="3">
    <w:abstractNumId w:val="19552401"/>
  </w:num>
  <w:num w:numId="4">
    <w:abstractNumId w:val="790174023"/>
  </w:num>
  <w:num w:numId="5">
    <w:abstractNumId w:val="30113325"/>
  </w:num>
  <w:num w:numId="6">
    <w:abstractNumId w:val="20859592"/>
  </w:num>
  <w:num w:numId="7">
    <w:abstractNumId w:val="12721316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spaceForUL/>
    <w:doNotLeaveBackslashAlone/>
    <w:ulTrailSpace/>
    <w:doNotBreakWrappedTables/>
    <w:doNotWrapTextWithPunct/>
    <w:doNotUseEastAsianBreakRules/>
    <w:doNotUseIndentAsNumberingTabStop/>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docVars>
    <w:docVar w:name="__Grammarly_42____i" w:val="H4sIAAAAAAAEAKtWckksSQxILCpxzi/NK1GyMqwFAAEhoTITAAAA"/>
    <w:docVar w:name="__Grammarly_42___1" w:val="H4sIAAAAAAAEAKtWcslP9kxRslIyNDYyNDM3MrcwNDI1NjcxNTRR0lEKTi0uzszPAykwrgUAM6ocUywAAAA="/>
  </w:docVars>
  <w:rsids>
    <w:rsidRoot w:val="00783A82"/>
    <w:rsid w:val="00085AB0"/>
    <w:rsid w:val="00086F10"/>
    <w:rsid w:val="000A59D9"/>
    <w:rsid w:val="000C31EE"/>
    <w:rsid w:val="000F4A65"/>
    <w:rsid w:val="000F6137"/>
    <w:rsid w:val="00141016"/>
    <w:rsid w:val="00154727"/>
    <w:rsid w:val="001749BB"/>
    <w:rsid w:val="001845CE"/>
    <w:rsid w:val="00184E97"/>
    <w:rsid w:val="001A52FE"/>
    <w:rsid w:val="001E1D88"/>
    <w:rsid w:val="0025154A"/>
    <w:rsid w:val="00315A4F"/>
    <w:rsid w:val="00385D37"/>
    <w:rsid w:val="00391E0F"/>
    <w:rsid w:val="003A2B65"/>
    <w:rsid w:val="003C0D1D"/>
    <w:rsid w:val="003C3763"/>
    <w:rsid w:val="00404999"/>
    <w:rsid w:val="00435503"/>
    <w:rsid w:val="00442EE4"/>
    <w:rsid w:val="004527B6"/>
    <w:rsid w:val="00456D71"/>
    <w:rsid w:val="00495672"/>
    <w:rsid w:val="0051419C"/>
    <w:rsid w:val="005159AF"/>
    <w:rsid w:val="00573F59"/>
    <w:rsid w:val="005C2E03"/>
    <w:rsid w:val="005E2C4C"/>
    <w:rsid w:val="00637526"/>
    <w:rsid w:val="0068377E"/>
    <w:rsid w:val="00683A4C"/>
    <w:rsid w:val="006A7C5A"/>
    <w:rsid w:val="00704E4C"/>
    <w:rsid w:val="007051B4"/>
    <w:rsid w:val="00720D76"/>
    <w:rsid w:val="00751F70"/>
    <w:rsid w:val="00754EDE"/>
    <w:rsid w:val="00764BD5"/>
    <w:rsid w:val="00775A9C"/>
    <w:rsid w:val="00776022"/>
    <w:rsid w:val="00783A82"/>
    <w:rsid w:val="007A4F01"/>
    <w:rsid w:val="007E0F8D"/>
    <w:rsid w:val="00825264"/>
    <w:rsid w:val="00872923"/>
    <w:rsid w:val="00874AFD"/>
    <w:rsid w:val="008C48B6"/>
    <w:rsid w:val="00952423"/>
    <w:rsid w:val="00A16A89"/>
    <w:rsid w:val="00A806D6"/>
    <w:rsid w:val="00A85C09"/>
    <w:rsid w:val="00A92B72"/>
    <w:rsid w:val="00AF4B37"/>
    <w:rsid w:val="00B3763D"/>
    <w:rsid w:val="00BF41BA"/>
    <w:rsid w:val="00BF5C39"/>
    <w:rsid w:val="00C63DD7"/>
    <w:rsid w:val="00CD1491"/>
    <w:rsid w:val="00D00D02"/>
    <w:rsid w:val="00DC4151"/>
    <w:rsid w:val="00E6756F"/>
    <w:rsid w:val="00EB605D"/>
    <w:rsid w:val="00EC3EAF"/>
    <w:rsid w:val="00F14F61"/>
    <w:rsid w:val="00F40D74"/>
    <w:rsid w:val="00F5278D"/>
    <w:rsid w:val="00F55216"/>
    <w:rsid w:val="00F85CEE"/>
    <w:rsid w:val="00F9276B"/>
    <w:rsid w:val="00FE02FA"/>
    <w:rsid w:val="00FF1DD7"/>
    <w:rsid w:val="00FF3150"/>
    <w:rsid w:val="78D16783"/>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99" w:name="Balloon Text"/>
    <w:lsdException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sz w:val="22"/>
      <w:szCs w:val="22"/>
      <w:lang w:val="en-US" w:eastAsia="ja-JP" w:bidi="ar-SA"/>
    </w:rPr>
  </w:style>
  <w:style w:type="character" w:default="1" w:styleId="6">
    <w:name w:val="Default Paragraph Font"/>
    <w:unhideWhenUsed/>
    <w:uiPriority w:val="1"/>
  </w:style>
  <w:style w:type="table" w:default="1" w:styleId="8">
    <w:name w:val="Normal Table"/>
    <w:unhideWhenUsed/>
    <w:uiPriority w:val="99"/>
    <w:tblPr>
      <w:tblStyle w:val="8"/>
      <w:tblLayout w:type="fixed"/>
      <w:tblCellMar>
        <w:top w:w="0" w:type="dxa"/>
        <w:left w:w="108" w:type="dxa"/>
        <w:bottom w:w="0" w:type="dxa"/>
        <w:right w:w="108" w:type="dxa"/>
      </w:tblCellMar>
    </w:tblPr>
  </w:style>
  <w:style w:type="paragraph" w:styleId="2">
    <w:name w:val="Title"/>
    <w:basedOn w:val="1"/>
    <w:next w:val="1"/>
    <w:link w:val="13"/>
    <w:qFormat/>
    <w:uiPriority w:val="10"/>
    <w:pPr>
      <w:spacing w:after="0" w:line="240" w:lineRule="auto"/>
      <w:contextualSpacing/>
    </w:pPr>
    <w:rPr>
      <w:rFonts w:ascii="Calibri Light" w:hAnsi="Calibri Light"/>
      <w:spacing w:val="-10"/>
      <w:kern w:val="28"/>
      <w:sz w:val="56"/>
      <w:szCs w:val="56"/>
    </w:rPr>
  </w:style>
  <w:style w:type="paragraph" w:styleId="3">
    <w:name w:val="footer"/>
    <w:basedOn w:val="1"/>
    <w:link w:val="15"/>
    <w:unhideWhenUsed/>
    <w:uiPriority w:val="99"/>
    <w:pPr>
      <w:tabs>
        <w:tab w:val="center" w:pos="4513"/>
        <w:tab w:val="right" w:pos="9026"/>
      </w:tabs>
      <w:spacing w:after="0" w:line="240" w:lineRule="auto"/>
    </w:pPr>
  </w:style>
  <w:style w:type="paragraph" w:styleId="4">
    <w:name w:val="Balloon Text"/>
    <w:basedOn w:val="1"/>
    <w:link w:val="12"/>
    <w:unhideWhenUsed/>
    <w:uiPriority w:val="99"/>
    <w:pPr>
      <w:spacing w:after="0" w:line="240" w:lineRule="auto"/>
    </w:pPr>
    <w:rPr>
      <w:rFonts w:ascii="Segoe UI" w:hAnsi="Segoe UI" w:cs="Segoe UI"/>
      <w:sz w:val="18"/>
      <w:szCs w:val="18"/>
    </w:rPr>
  </w:style>
  <w:style w:type="paragraph" w:styleId="5">
    <w:name w:val="header"/>
    <w:basedOn w:val="1"/>
    <w:link w:val="14"/>
    <w:unhideWhenUsed/>
    <w:uiPriority w:val="99"/>
    <w:pPr>
      <w:tabs>
        <w:tab w:val="center" w:pos="4513"/>
        <w:tab w:val="right" w:pos="9026"/>
      </w:tabs>
      <w:spacing w:after="0" w:line="240" w:lineRule="auto"/>
    </w:pPr>
  </w:style>
  <w:style w:type="character" w:styleId="7">
    <w:name w:val="Hyperlink"/>
    <w:basedOn w:val="6"/>
    <w:unhideWhenUsed/>
    <w:uiPriority w:val="0"/>
    <w:rPr>
      <w:color w:val="0000FF"/>
      <w:u w:val="single"/>
    </w:rPr>
  </w:style>
  <w:style w:type="paragraph" w:customStyle="1" w:styleId="9">
    <w:name w:val="Default"/>
    <w:uiPriority w:val="0"/>
    <w:pPr>
      <w:autoSpaceDE w:val="0"/>
      <w:autoSpaceDN w:val="0"/>
      <w:adjustRightInd w:val="0"/>
      <w:spacing w:after="0" w:line="240" w:lineRule="auto"/>
    </w:pPr>
    <w:rPr>
      <w:rFonts w:ascii="Calibri" w:hAnsi="Calibri" w:cs="Calibri"/>
      <w:color w:val="000000"/>
      <w:sz w:val="24"/>
      <w:szCs w:val="24"/>
      <w:lang w:eastAsia="ja-JP" w:bidi="ar-SA"/>
    </w:rPr>
  </w:style>
  <w:style w:type="paragraph" w:customStyle="1" w:styleId="10">
    <w:name w:val="List Paragraph"/>
    <w:basedOn w:val="1"/>
    <w:qFormat/>
    <w:uiPriority w:val="34"/>
    <w:pPr>
      <w:ind w:left="720"/>
      <w:contextualSpacing/>
    </w:pPr>
  </w:style>
  <w:style w:type="paragraph" w:customStyle="1" w:styleId="11">
    <w:name w:val="Style Title + Bold Left Before:  6 pt After:  6 pt"/>
    <w:basedOn w:val="2"/>
    <w:uiPriority w:val="0"/>
    <w:pPr>
      <w:numPr>
        <w:ilvl w:val="0"/>
        <w:numId w:val="1"/>
      </w:numPr>
      <w:tabs>
        <w:tab w:val="left" w:pos="360"/>
      </w:tabs>
      <w:autoSpaceDE w:val="0"/>
      <w:autoSpaceDN w:val="0"/>
      <w:adjustRightInd w:val="0"/>
      <w:spacing w:before="240" w:after="120"/>
      <w:ind w:left="0" w:firstLine="0"/>
    </w:pPr>
    <w:rPr>
      <w:rFonts w:ascii="Arial" w:hAnsi="Arial" w:eastAsia="Times New Roman" w:cs="Arial"/>
      <w:b/>
      <w:bCs/>
      <w:spacing w:val="0"/>
      <w:kern w:val="0"/>
      <w:sz w:val="20"/>
      <w:szCs w:val="20"/>
      <w:lang/>
    </w:rPr>
  </w:style>
  <w:style w:type="character" w:customStyle="1" w:styleId="12">
    <w:name w:val="Balloon Text Char"/>
    <w:basedOn w:val="6"/>
    <w:link w:val="4"/>
    <w:semiHidden/>
    <w:uiPriority w:val="99"/>
    <w:rPr>
      <w:rFonts w:ascii="Segoe UI" w:hAnsi="Segoe UI" w:cs="Segoe UI"/>
      <w:sz w:val="18"/>
      <w:szCs w:val="18"/>
    </w:rPr>
  </w:style>
  <w:style w:type="character" w:customStyle="1" w:styleId="13">
    <w:name w:val="Title Char"/>
    <w:basedOn w:val="6"/>
    <w:link w:val="2"/>
    <w:uiPriority w:val="10"/>
    <w:rPr>
      <w:rFonts w:ascii="Calibri Light" w:hAnsi="Calibri Light"/>
      <w:spacing w:val="-10"/>
      <w:kern w:val="28"/>
      <w:sz w:val="56"/>
      <w:szCs w:val="56"/>
    </w:rPr>
  </w:style>
  <w:style w:type="character" w:customStyle="1" w:styleId="14">
    <w:name w:val="Header Char"/>
    <w:basedOn w:val="6"/>
    <w:link w:val="5"/>
    <w:uiPriority w:val="99"/>
    <w:rPr/>
  </w:style>
  <w:style w:type="character" w:customStyle="1" w:styleId="15">
    <w:name w:val="Footer Char"/>
    <w:basedOn w:val="6"/>
    <w:link w:val="3"/>
    <w:uiPriority w:val="99"/>
    <w:rPr/>
  </w:style>
</w:style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789</Words>
  <Characters>4502</Characters>
  <Lines>37</Lines>
  <Paragraphs>10</Paragraphs>
  <TotalTime>0</TotalTime>
  <ScaleCrop>false</ScaleCrop>
  <LinksUpToDate>false</LinksUpToDate>
  <CharactersWithSpaces>0</CharactersWithSpaces>
  <Application>Kingsoft Office Professional_9.1.0.4922_{F1E327BC-269C-435d-A152-05C5408002CA}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2019-10-28T09:16:00Z</dcterms:created>
  <dc:creator>SAITO Moe</dc:creator>
  <cp:lastModifiedBy>Moe</cp:lastModifiedBy>
  <dcterms:modified xsi:type="dcterms:W3CDTF">2019-11-25T08:28:59Z</dcterms:modified>
  <dc:title>_x0001_</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1041-9.1.0.4922</vt:lpwstr>
  </property>
</Properties>
</file>