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0D5C78C7" w:rsidR="00E338D5" w:rsidRDefault="00CB7F12" w:rsidP="00F46848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 w:rsidR="00651709">
        <w:rPr>
          <w:rFonts w:asciiTheme="majorHAnsi" w:hAnsiTheme="majorHAnsi"/>
          <w:szCs w:val="20"/>
        </w:rPr>
        <w:t>two</w:t>
      </w:r>
      <w:r>
        <w:rPr>
          <w:rFonts w:asciiTheme="majorHAnsi" w:hAnsiTheme="majorHAnsi"/>
          <w:szCs w:val="20"/>
        </w:rPr>
        <w:t xml:space="preserve"> relevant references</w:t>
      </w:r>
      <w:r w:rsidR="00507CF2">
        <w:rPr>
          <w:rFonts w:asciiTheme="majorHAnsi" w:hAnsiTheme="majorHAnsi"/>
          <w:szCs w:val="20"/>
        </w:rPr>
        <w:t xml:space="preserve"> for s</w:t>
      </w:r>
      <w:r w:rsidR="00813455">
        <w:rPr>
          <w:rFonts w:asciiTheme="majorHAnsi" w:hAnsiTheme="majorHAnsi"/>
          <w:szCs w:val="20"/>
        </w:rPr>
        <w:t>ame</w:t>
      </w:r>
      <w:r w:rsidR="00507CF2">
        <w:rPr>
          <w:rFonts w:asciiTheme="majorHAnsi" w:hAnsiTheme="majorHAnsi"/>
          <w:szCs w:val="20"/>
        </w:rPr>
        <w:t xml:space="preserve"> </w:t>
      </w:r>
      <w:r w:rsidR="00767EAD">
        <w:rPr>
          <w:rFonts w:asciiTheme="majorHAnsi" w:hAnsiTheme="majorHAnsi"/>
          <w:szCs w:val="20"/>
        </w:rPr>
        <w:t>service</w:t>
      </w:r>
      <w:r w:rsidR="00507CF2">
        <w:rPr>
          <w:rFonts w:asciiTheme="majorHAnsi" w:hAnsiTheme="majorHAnsi"/>
          <w:szCs w:val="20"/>
        </w:rPr>
        <w:t xml:space="preserve">s </w:t>
      </w:r>
      <w:r w:rsidR="00531BB2">
        <w:rPr>
          <w:rFonts w:asciiTheme="majorHAnsi" w:hAnsiTheme="majorHAnsi"/>
          <w:szCs w:val="20"/>
        </w:rPr>
        <w:t>within</w:t>
      </w:r>
      <w:r w:rsidR="00507CF2">
        <w:rPr>
          <w:rFonts w:asciiTheme="majorHAnsi" w:hAnsiTheme="majorHAnsi"/>
          <w:szCs w:val="20"/>
        </w:rPr>
        <w:t xml:space="preserve"> the </w:t>
      </w:r>
      <w:r w:rsidR="00041244">
        <w:rPr>
          <w:rFonts w:asciiTheme="majorHAnsi" w:hAnsiTheme="majorHAnsi"/>
          <w:szCs w:val="20"/>
        </w:rPr>
        <w:t xml:space="preserve">last </w:t>
      </w:r>
      <w:r w:rsidR="0096624A">
        <w:rPr>
          <w:rFonts w:asciiTheme="majorHAnsi" w:hAnsiTheme="majorHAnsi"/>
          <w:szCs w:val="20"/>
        </w:rPr>
        <w:t>5</w:t>
      </w:r>
      <w:r w:rsidR="004B0EC6">
        <w:rPr>
          <w:rFonts w:asciiTheme="majorHAnsi" w:hAnsiTheme="majorHAnsi"/>
          <w:szCs w:val="20"/>
        </w:rPr>
        <w:t xml:space="preserve"> </w:t>
      </w:r>
      <w:r w:rsidR="00AA195A">
        <w:rPr>
          <w:rFonts w:asciiTheme="majorHAnsi" w:hAnsiTheme="majorHAnsi"/>
          <w:szCs w:val="20"/>
        </w:rPr>
        <w:t>year</w:t>
      </w:r>
      <w:r w:rsidR="00797ECA">
        <w:rPr>
          <w:rFonts w:asciiTheme="majorHAnsi" w:hAnsiTheme="majorHAnsi"/>
          <w:szCs w:val="20"/>
        </w:rPr>
        <w:t>s</w:t>
      </w:r>
      <w:r w:rsidR="00531BB2">
        <w:rPr>
          <w:rFonts w:asciiTheme="majorHAnsi" w:hAnsiTheme="majorHAnsi"/>
          <w:szCs w:val="20"/>
        </w:rPr>
        <w:t xml:space="preserve"> with INGO in Iraq</w:t>
      </w:r>
      <w:r w:rsidR="00AA195A">
        <w:rPr>
          <w:rFonts w:asciiTheme="majorHAnsi" w:hAnsiTheme="majorHAnsi"/>
          <w:szCs w:val="20"/>
        </w:rPr>
        <w:t>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46C5" w14:textId="77777777" w:rsidR="00723E9D" w:rsidRDefault="00723E9D" w:rsidP="003D4765">
      <w:r>
        <w:separator/>
      </w:r>
    </w:p>
  </w:endnote>
  <w:endnote w:type="continuationSeparator" w:id="0">
    <w:p w14:paraId="0E3EDD8A" w14:textId="77777777" w:rsidR="00723E9D" w:rsidRDefault="00723E9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3B6D" w14:textId="77777777" w:rsidR="00723E9D" w:rsidRDefault="00723E9D" w:rsidP="003D4765">
      <w:r>
        <w:separator/>
      </w:r>
    </w:p>
  </w:footnote>
  <w:footnote w:type="continuationSeparator" w:id="0">
    <w:p w14:paraId="3190DD12" w14:textId="77777777" w:rsidR="00723E9D" w:rsidRDefault="00723E9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70016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4896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977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465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953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2716B723" w14:textId="3C5CC4F1" w:rsidR="001C7C79" w:rsidRPr="00BC2F6A" w:rsidRDefault="00BC2F6A" w:rsidP="007A5321">
    <w:pPr>
      <w:pStyle w:val="Header"/>
      <w:jc w:val="right"/>
      <w:rPr>
        <w:color w:val="000000" w:themeColor="text1"/>
        <w:sz w:val="18"/>
        <w:szCs w:val="18"/>
      </w:rPr>
    </w:pPr>
    <w:r w:rsidRPr="00BC2F6A">
      <w:rPr>
        <w:rFonts w:ascii="Calibri" w:hAnsi="Calibri"/>
        <w:bCs/>
        <w:color w:val="222222"/>
        <w:sz w:val="18"/>
        <w:szCs w:val="18"/>
      </w:rPr>
      <w:t>RFP-IRQ-CO-2022-01</w:t>
    </w:r>
    <w:r w:rsidR="00BC3629">
      <w:rPr>
        <w:rFonts w:ascii="Calibri" w:hAnsi="Calibri"/>
        <w:bCs/>
        <w:color w:val="222222"/>
        <w:sz w:val="18"/>
        <w:szCs w:val="18"/>
      </w:rPr>
      <w:t>1</w:t>
    </w:r>
    <w:r w:rsidRPr="00BC2F6A">
      <w:rPr>
        <w:rFonts w:ascii="Calibri" w:hAnsi="Calibri"/>
        <w:bCs/>
        <w:color w:val="222222"/>
        <w:sz w:val="18"/>
        <w:szCs w:val="18"/>
      </w:rPr>
      <w:t>-Consultancy for Federal Iraq Personal Income Tax and Social Security Settlement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C3629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0B613C-9D63-4604-A5DD-0DB3D24B0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  <ds:schemaRef ds:uri="35cd3ca8-55ed-4ca8-ac40-4fdec7f51247"/>
  </ds:schemaRefs>
</ds:datastoreItem>
</file>

<file path=customXml/itemProps4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Nafen Youssef Carey</cp:lastModifiedBy>
  <cp:revision>38</cp:revision>
  <cp:lastPrinted>2016-12-26T12:18:00Z</cp:lastPrinted>
  <dcterms:created xsi:type="dcterms:W3CDTF">2017-05-03T14:15:00Z</dcterms:created>
  <dcterms:modified xsi:type="dcterms:W3CDTF">2022-11-06T09:24:00Z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0x01010079EAC4FCD715EB48A1043A4A6F46F991</vt:lpwstr>
  </property>
  <property fmtid="{D5CDD505-2E9C-101B-9397-08002B2CF9AE}" pid="4" name="MediaServiceImageTags">
    <vt:lpwstr/>
  </property>
</Properties>
</file>