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08310B2F" w:rsidR="00504383" w:rsidRPr="004F669D" w:rsidRDefault="00504383" w:rsidP="00504383">
      <w:pPr>
        <w:pStyle w:val="Heading1"/>
        <w:jc w:val="both"/>
        <w:rPr>
          <w:rFonts w:eastAsiaTheme="minorHAnsi" w:cstheme="majorHAnsi"/>
          <w:color w:val="auto"/>
          <w:sz w:val="24"/>
          <w:szCs w:val="24"/>
        </w:rPr>
      </w:pPr>
      <w:r w:rsidRPr="004F669D">
        <w:rPr>
          <w:rFonts w:eastAsiaTheme="minorHAnsi" w:cstheme="majorHAnsi"/>
          <w:color w:val="auto"/>
          <w:sz w:val="24"/>
          <w:szCs w:val="24"/>
        </w:rPr>
        <w:t xml:space="preserve">Mines Advisory Group (MAG) has received grants from various international donors for the implementation of its humanitarian aid operation in Iraq. MAG requires provision and delivery of </w:t>
      </w:r>
      <w:r w:rsidR="00CE39DA">
        <w:rPr>
          <w:rFonts w:eastAsiaTheme="minorHAnsi" w:cstheme="majorHAnsi"/>
          <w:color w:val="auto"/>
          <w:sz w:val="24"/>
          <w:szCs w:val="24"/>
        </w:rPr>
        <w:t>Hotel Services</w:t>
      </w:r>
      <w:r w:rsidRPr="004F669D">
        <w:rPr>
          <w:rFonts w:eastAsiaTheme="minorHAnsi" w:cstheme="majorHAnsi"/>
          <w:color w:val="auto"/>
          <w:sz w:val="24"/>
          <w:szCs w:val="24"/>
        </w:rPr>
        <w:t xml:space="preserve"> in Erbil. </w:t>
      </w:r>
      <w:bookmarkStart w:id="0" w:name="_GoBack"/>
      <w:bookmarkEnd w:id="0"/>
    </w:p>
    <w:p w14:paraId="3AE50DCB" w14:textId="77777777" w:rsidR="00690734" w:rsidRPr="00BF151A" w:rsidRDefault="00690734">
      <w:pPr>
        <w:rPr>
          <w:rFonts w:asciiTheme="majorHAnsi" w:hAnsiTheme="majorHAnsi" w:cstheme="majorHAnsi"/>
        </w:rPr>
      </w:pPr>
    </w:p>
    <w:p w14:paraId="63C44CDA" w14:textId="44FA5CE7" w:rsidR="00340E49" w:rsidRPr="004F669D" w:rsidRDefault="00690734" w:rsidP="3066B2D3">
      <w:pPr>
        <w:spacing w:after="120"/>
        <w:rPr>
          <w:rFonts w:asciiTheme="majorHAnsi" w:hAnsiTheme="majorHAnsi" w:cstheme="majorBidi"/>
          <w:b/>
          <w:bCs/>
          <w:color w:val="FF0000"/>
          <w:highlight w:val="yellow"/>
        </w:rPr>
      </w:pPr>
      <w:r w:rsidRPr="004F669D">
        <w:rPr>
          <w:rFonts w:asciiTheme="majorHAnsi" w:hAnsiTheme="majorHAnsi" w:cstheme="majorBidi"/>
          <w:b/>
          <w:bCs/>
        </w:rPr>
        <w:t>Tender Reference</w:t>
      </w:r>
      <w:r w:rsidR="001D49F2" w:rsidRPr="004F669D">
        <w:rPr>
          <w:b/>
          <w:bCs/>
        </w:rPr>
        <w:tab/>
      </w:r>
      <w:r w:rsidR="00CE39DA">
        <w:rPr>
          <w:b/>
          <w:bCs/>
        </w:rPr>
        <w:t>Hotel Services in</w:t>
      </w:r>
      <w:r w:rsidR="00CE39DA">
        <w:rPr>
          <w:b/>
          <w:bCs/>
          <w:lang w:val="en-US"/>
        </w:rPr>
        <w:t xml:space="preserve"> Erbil</w:t>
      </w:r>
      <w:r w:rsidR="00504383" w:rsidRPr="004F669D">
        <w:rPr>
          <w:b/>
          <w:bCs/>
        </w:rPr>
        <w:t>-</w:t>
      </w:r>
      <w:r w:rsidR="00504383" w:rsidRPr="004F669D">
        <w:rPr>
          <w:rFonts w:asciiTheme="majorHAnsi" w:hAnsiTheme="majorHAnsi" w:cstheme="majorBidi"/>
          <w:b/>
          <w:bCs/>
        </w:rPr>
        <w:t xml:space="preserve"> </w:t>
      </w:r>
      <w:r w:rsidR="00504383" w:rsidRPr="004F669D">
        <w:rPr>
          <w:b/>
          <w:bCs/>
        </w:rPr>
        <w:t>SD2</w:t>
      </w:r>
      <w:r w:rsidR="00CE39DA">
        <w:rPr>
          <w:b/>
          <w:bCs/>
        </w:rPr>
        <w:t>4</w:t>
      </w:r>
      <w:r w:rsidR="00504383" w:rsidRPr="004F669D">
        <w:rPr>
          <w:b/>
          <w:bCs/>
        </w:rPr>
        <w:t>-IQ-EHO-0</w:t>
      </w:r>
      <w:r w:rsidR="00CE39DA">
        <w:rPr>
          <w:b/>
          <w:bCs/>
        </w:rPr>
        <w:t>0</w:t>
      </w:r>
      <w:r w:rsidR="004F669D" w:rsidRPr="004F669D">
        <w:rPr>
          <w:b/>
          <w:bCs/>
        </w:rPr>
        <w:t>1</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2D9251D7" w14:textId="77777777" w:rsidR="00CE39DA" w:rsidRDefault="00CE39DA" w:rsidP="3066B2D3">
      <w:pPr>
        <w:spacing w:after="120"/>
        <w:ind w:left="2160" w:hanging="2160"/>
        <w:rPr>
          <w:rFonts w:asciiTheme="majorHAnsi" w:hAnsiTheme="majorHAnsi" w:cstheme="majorBidi"/>
        </w:rPr>
      </w:pPr>
    </w:p>
    <w:p w14:paraId="20A057CE" w14:textId="04B2B19E" w:rsidR="00690734" w:rsidRPr="00BF151A" w:rsidRDefault="00690734" w:rsidP="3066B2D3">
      <w:pPr>
        <w:spacing w:after="120"/>
        <w:ind w:left="2160" w:hanging="2160"/>
        <w:rPr>
          <w:rFonts w:asciiTheme="majorHAnsi" w:hAnsiTheme="majorHAnsi" w:cstheme="majorBidi"/>
        </w:rPr>
      </w:pPr>
      <w:r w:rsidRPr="3066B2D3">
        <w:rPr>
          <w:rFonts w:asciiTheme="majorHAnsi" w:hAnsiTheme="majorHAnsi" w:cstheme="majorBidi"/>
        </w:rPr>
        <w:t xml:space="preserve">Tender </w:t>
      </w:r>
      <w:r w:rsidR="00CE39DA" w:rsidRPr="3066B2D3">
        <w:rPr>
          <w:rFonts w:asciiTheme="majorHAnsi" w:hAnsiTheme="majorHAnsi" w:cstheme="majorBidi"/>
        </w:rPr>
        <w:t>Costs</w:t>
      </w:r>
      <w:r w:rsidR="00CE39DA">
        <w:rPr>
          <w:rFonts w:asciiTheme="majorHAnsi" w:hAnsiTheme="majorHAnsi" w:cstheme="majorBidi"/>
        </w:rPr>
        <w:t>:</w:t>
      </w:r>
      <w:r w:rsidR="00CE39DA" w:rsidRPr="3066B2D3">
        <w:rPr>
          <w:rFonts w:asciiTheme="majorHAnsi" w:hAnsiTheme="majorHAnsi" w:cstheme="majorBidi"/>
        </w:rPr>
        <w:t xml:space="preserve"> MAG</w:t>
      </w:r>
      <w:r w:rsidR="23DC3E3E" w:rsidRPr="3066B2D3">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5654A87A" w:rsidR="0076745E" w:rsidRPr="0076745E" w:rsidRDefault="0076745E"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3930" w:type="dxa"/>
            <w:shd w:val="clear" w:color="auto" w:fill="auto"/>
          </w:tcPr>
          <w:p w14:paraId="344E95B8" w14:textId="01C9EB39" w:rsidR="00B238CE" w:rsidRPr="00D4173B" w:rsidRDefault="009C6B27" w:rsidP="3066B2D3">
            <w:pPr>
              <w:rPr>
                <w:rFonts w:asciiTheme="majorHAnsi" w:hAnsiTheme="majorHAnsi" w:cstheme="majorBidi"/>
                <w:color w:val="000000" w:themeColor="text1"/>
              </w:rPr>
            </w:pPr>
            <w:r>
              <w:rPr>
                <w:rFonts w:asciiTheme="majorHAnsi" w:hAnsiTheme="majorHAnsi" w:cstheme="majorBidi"/>
                <w:color w:val="000000" w:themeColor="text1"/>
              </w:rPr>
              <w:t>23/01/2024</w:t>
            </w:r>
          </w:p>
        </w:tc>
      </w:tr>
      <w:tr w:rsidR="009C6B27" w:rsidRPr="00BF151A" w14:paraId="5B59E7E3" w14:textId="77777777" w:rsidTr="00D4173B">
        <w:tc>
          <w:tcPr>
            <w:tcW w:w="421" w:type="dxa"/>
          </w:tcPr>
          <w:p w14:paraId="0FFEDB41" w14:textId="50A8FBDC" w:rsidR="009C6B27" w:rsidRPr="00BF151A" w:rsidRDefault="009C6B27" w:rsidP="009C6B27">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9C6B27" w:rsidRPr="00BF151A" w:rsidRDefault="009C6B27" w:rsidP="009C6B27">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5C1DBFEA" w:rsidR="009C6B27" w:rsidRPr="00D4173B" w:rsidRDefault="009C6B27" w:rsidP="009C6B27">
            <w:pPr>
              <w:rPr>
                <w:rFonts w:asciiTheme="majorHAnsi" w:hAnsiTheme="majorHAnsi" w:cstheme="majorBidi"/>
                <w:color w:val="000000" w:themeColor="text1"/>
              </w:rPr>
            </w:pPr>
            <w:r>
              <w:rPr>
                <w:rFonts w:asciiTheme="majorHAnsi" w:hAnsiTheme="majorHAnsi" w:cstheme="majorBidi"/>
                <w:color w:val="000000" w:themeColor="text1"/>
              </w:rPr>
              <w:t>05/02/2024</w:t>
            </w:r>
          </w:p>
        </w:tc>
      </w:tr>
      <w:tr w:rsidR="009C6B27" w:rsidRPr="00BF151A" w14:paraId="7139DC75" w14:textId="77777777" w:rsidTr="00D4173B">
        <w:tc>
          <w:tcPr>
            <w:tcW w:w="421" w:type="dxa"/>
          </w:tcPr>
          <w:p w14:paraId="38EE6B9E" w14:textId="4BBFF5E5" w:rsidR="009C6B27" w:rsidRPr="00BF151A" w:rsidRDefault="009C6B27" w:rsidP="009C6B27">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9C6B27" w:rsidRPr="00BF151A" w:rsidRDefault="009C6B27" w:rsidP="009C6B27">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430A8A3A" w:rsidR="009C6B27" w:rsidRPr="00D4173B" w:rsidRDefault="009C6B27" w:rsidP="009C6B27">
            <w:pPr>
              <w:rPr>
                <w:rFonts w:asciiTheme="majorHAnsi" w:hAnsiTheme="majorHAnsi" w:cstheme="majorBidi"/>
                <w:color w:val="000000" w:themeColor="text1"/>
              </w:rPr>
            </w:pPr>
            <w:r>
              <w:rPr>
                <w:rFonts w:asciiTheme="majorHAnsi" w:hAnsiTheme="majorHAnsi" w:cstheme="majorBidi"/>
                <w:color w:val="000000" w:themeColor="text1"/>
              </w:rPr>
              <w:t>06/02/2024, 16:00 Iraq time</w:t>
            </w:r>
          </w:p>
        </w:tc>
      </w:tr>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621840"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26431AA" w14:textId="7B83556C" w:rsidR="00504383" w:rsidRDefault="00621840" w:rsidP="00A867D6">
      <w:pPr>
        <w:rPr>
          <w:rFonts w:eastAsia="Cambria" w:cs="DaunPenh"/>
        </w:rPr>
      </w:pPr>
      <w:hyperlink r:id="rId12" w:history="1">
        <w:r w:rsidR="00504383" w:rsidRPr="00A867D6">
          <w:rPr>
            <w:rStyle w:val="Hyperlink"/>
            <w:rFonts w:eastAsia="Cambria" w:cs="DaunPenh"/>
          </w:rPr>
          <w:t>https://www.ncciraq.org/en/opportunities/for-individuals/bids-tenders</w:t>
        </w:r>
      </w:hyperlink>
    </w:p>
    <w:p w14:paraId="3AAFE64A" w14:textId="203F8A81" w:rsidR="00504383" w:rsidRDefault="00621840" w:rsidP="00A867D6">
      <w:pPr>
        <w:rPr>
          <w:rFonts w:eastAsia="Cambria" w:cs="DaunPenh"/>
        </w:rPr>
      </w:pPr>
      <w:hyperlink r:id="rId13" w:history="1">
        <w:r w:rsidR="00504383" w:rsidRPr="000940A9">
          <w:rPr>
            <w:rStyle w:val="Hyperlink"/>
            <w:rFonts w:eastAsia="Cambria" w:cs="DaunPenh"/>
          </w:rPr>
          <w:t>https://www.iraq-businessnews.com/tenders/</w:t>
        </w:r>
      </w:hyperlink>
    </w:p>
    <w:p w14:paraId="24D78EEA" w14:textId="5AD7369F" w:rsidR="001A7219" w:rsidRDefault="001A7219" w:rsidP="00A867D6"/>
    <w:p w14:paraId="0D575CB0" w14:textId="77777777" w:rsidR="004F669D" w:rsidRDefault="004F669D"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lastRenderedPageBreak/>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785D57">
        <w:trPr>
          <w:trHeight w:val="432"/>
        </w:trPr>
        <w:tc>
          <w:tcPr>
            <w:tcW w:w="10491" w:type="dxa"/>
            <w:shd w:val="clear" w:color="auto" w:fill="D9D9D9" w:themeFill="background1" w:themeFillShade="D9"/>
            <w:vAlign w:val="center"/>
          </w:tcPr>
          <w:p w14:paraId="6C836818" w14:textId="1C8A797A" w:rsidR="00E80651" w:rsidRPr="00BF151A" w:rsidRDefault="00E80651" w:rsidP="00785D57">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28E62F84" w14:textId="77777777" w:rsidR="00CE39DA" w:rsidRPr="00633856" w:rsidRDefault="00CE39DA" w:rsidP="00CE39DA">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H</w:t>
      </w:r>
      <w:r w:rsidRPr="006E176A">
        <w:rPr>
          <w:rFonts w:ascii="Calibri" w:eastAsia="Times New Roman" w:hAnsi="Calibri" w:cs="Calibri"/>
          <w:lang w:val="en-US"/>
        </w:rPr>
        <w:t xml:space="preserve">otel profile that outline the hotel facilities (Spa, Gym, Business Lounge, etc.) </w:t>
      </w:r>
      <w:r w:rsidRPr="00633856">
        <w:rPr>
          <w:rFonts w:ascii="Calibri" w:eastAsia="Times New Roman" w:hAnsi="Calibri" w:cs="Calibri"/>
          <w:highlight w:val="yellow"/>
          <w:lang w:val="en-US"/>
        </w:rPr>
        <w:t>Optional</w:t>
      </w:r>
    </w:p>
    <w:p w14:paraId="029BAA70" w14:textId="0D075076" w:rsidR="00CE39DA" w:rsidRPr="00CE39DA" w:rsidRDefault="00CE39DA" w:rsidP="00CE39DA">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List of clients (Organizations, companies etc.)</w:t>
      </w:r>
      <w:r w:rsidRPr="00633856">
        <w:rPr>
          <w:rFonts w:ascii="Calibri" w:eastAsia="Times New Roman" w:hAnsi="Calibri" w:cs="Calibri"/>
          <w:highlight w:val="yellow"/>
          <w:lang w:val="en-US"/>
        </w:rPr>
        <w:t xml:space="preserve"> Optional</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382A15E3" w14:textId="77777777" w:rsidR="0055705A" w:rsidRPr="00BF151A" w:rsidRDefault="0055705A" w:rsidP="0055705A">
      <w:pPr>
        <w:rPr>
          <w:rFonts w:asciiTheme="majorHAnsi" w:hAnsiTheme="majorHAnsi" w:cstheme="majorHAnsi"/>
        </w:rPr>
      </w:pPr>
    </w:p>
    <w:p w14:paraId="462E5E8B"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785D57">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785D57">
            <w:pPr>
              <w:rPr>
                <w:rFonts w:asciiTheme="majorHAnsi" w:hAnsiTheme="majorHAnsi" w:cstheme="majorHAnsi"/>
                <w:bCs/>
              </w:rPr>
            </w:pPr>
            <w:r>
              <w:rPr>
                <w:rFonts w:asciiTheme="majorHAnsi" w:hAnsiTheme="majorHAnsi" w:cstheme="majorHAnsi"/>
                <w:bCs/>
              </w:rPr>
              <w:t>2</w:t>
            </w:r>
          </w:p>
        </w:tc>
        <w:tc>
          <w:tcPr>
            <w:tcW w:w="4619" w:type="dxa"/>
          </w:tcPr>
          <w:p w14:paraId="4EE0B903" w14:textId="76EC601B" w:rsidR="00207D7C" w:rsidRPr="00207D7C" w:rsidRDefault="00207D7C" w:rsidP="00785D57">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7FC9969B" w:rsidR="00207D7C" w:rsidRDefault="00207D7C" w:rsidP="00785D57">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207D7C" w:rsidRPr="00D61F2E" w14:paraId="0189F1C7" w14:textId="77777777" w:rsidTr="08F7C9AA">
        <w:trPr>
          <w:jc w:val="center"/>
        </w:trPr>
        <w:tc>
          <w:tcPr>
            <w:tcW w:w="338" w:type="dxa"/>
          </w:tcPr>
          <w:p w14:paraId="6263B119" w14:textId="53EA18DE" w:rsidR="00207D7C" w:rsidRPr="00207D7C" w:rsidRDefault="00D4173B" w:rsidP="00785D57">
            <w:pPr>
              <w:rPr>
                <w:rFonts w:asciiTheme="majorHAnsi" w:hAnsiTheme="majorHAnsi" w:cstheme="majorHAnsi"/>
                <w:bCs/>
              </w:rPr>
            </w:pPr>
            <w:r>
              <w:rPr>
                <w:rFonts w:asciiTheme="majorHAnsi" w:hAnsiTheme="majorHAnsi" w:cstheme="majorHAnsi"/>
                <w:bCs/>
              </w:rPr>
              <w:t>3</w:t>
            </w:r>
          </w:p>
        </w:tc>
        <w:tc>
          <w:tcPr>
            <w:tcW w:w="4619" w:type="dxa"/>
          </w:tcPr>
          <w:p w14:paraId="49A7D70D" w14:textId="741DF0F5" w:rsidR="00207D7C" w:rsidRPr="00207D7C" w:rsidRDefault="09FC8A07">
            <w:pPr>
              <w:rPr>
                <w:rFonts w:asciiTheme="majorHAnsi" w:hAnsiTheme="majorHAnsi" w:cstheme="majorBidi"/>
              </w:rPr>
            </w:pPr>
            <w:r w:rsidRPr="08F7C9AA">
              <w:rPr>
                <w:rFonts w:asciiTheme="majorHAnsi" w:hAnsiTheme="majorHAnsi" w:cstheme="majorBidi"/>
              </w:rPr>
              <w:t xml:space="preserve">Company Registration (Business License). </w:t>
            </w:r>
          </w:p>
          <w:p w14:paraId="22BE7D6C" w14:textId="47163A01" w:rsidR="00207D7C" w:rsidRPr="00207D7C" w:rsidRDefault="00207D7C" w:rsidP="00785D57">
            <w:pPr>
              <w:rPr>
                <w:rFonts w:asciiTheme="majorHAnsi" w:hAnsiTheme="majorHAnsi" w:cstheme="majorHAnsi"/>
                <w:bCs/>
              </w:rPr>
            </w:pPr>
          </w:p>
          <w:p w14:paraId="46F1E5D7" w14:textId="77777777" w:rsidR="00207D7C" w:rsidRPr="00207D7C" w:rsidRDefault="00207D7C" w:rsidP="00785D57">
            <w:pPr>
              <w:rPr>
                <w:rFonts w:asciiTheme="majorHAnsi" w:hAnsiTheme="majorHAnsi" w:cstheme="majorHAnsi"/>
                <w:bCs/>
              </w:rPr>
            </w:pPr>
          </w:p>
          <w:p w14:paraId="490B33F5" w14:textId="77777777" w:rsidR="00207D7C" w:rsidRPr="00207D7C" w:rsidRDefault="00207D7C" w:rsidP="00785D57">
            <w:pPr>
              <w:rPr>
                <w:rFonts w:asciiTheme="majorHAnsi" w:hAnsiTheme="majorHAnsi" w:cstheme="majorHAnsi"/>
                <w:bCs/>
              </w:rPr>
            </w:pPr>
          </w:p>
        </w:tc>
        <w:tc>
          <w:tcPr>
            <w:tcW w:w="4665" w:type="dxa"/>
          </w:tcPr>
          <w:p w14:paraId="4DD52973" w14:textId="77777777" w:rsidR="00207D7C" w:rsidRPr="00207D7C" w:rsidRDefault="00207D7C" w:rsidP="00785D57">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785D57">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3C8EAB14" w14:textId="519D8ED1" w:rsidR="00DE07FA" w:rsidRDefault="00DE07FA" w:rsidP="00E626DE">
      <w:pPr>
        <w:rPr>
          <w:rFonts w:asciiTheme="majorHAnsi" w:hAnsiTheme="majorHAnsi" w:cstheme="majorHAnsi"/>
          <w:bCs/>
        </w:rPr>
      </w:pPr>
    </w:p>
    <w:p w14:paraId="079CCEE5" w14:textId="004553E3" w:rsidR="00B2083C" w:rsidRDefault="00CE39DA" w:rsidP="00E626DE">
      <w:pPr>
        <w:rPr>
          <w:rFonts w:asciiTheme="majorHAnsi" w:hAnsiTheme="majorHAnsi" w:cstheme="majorHAnsi"/>
          <w:bCs/>
        </w:rPr>
      </w:pPr>
      <w:r>
        <w:rPr>
          <w:rFonts w:asciiTheme="majorHAnsi" w:hAnsiTheme="majorHAnsi" w:cstheme="majorHAnsi"/>
          <w:bCs/>
        </w:rPr>
        <w:t>Optional documents mentioned in section 2 can also be added to the first submission.</w:t>
      </w:r>
    </w:p>
    <w:p w14:paraId="2EE24A48" w14:textId="77777777" w:rsidR="00B2083C" w:rsidRDefault="00B2083C" w:rsidP="00B2083C">
      <w:pPr>
        <w:rPr>
          <w:rFonts w:asciiTheme="majorHAnsi" w:hAnsiTheme="majorHAnsi" w:cstheme="majorHAnsi"/>
          <w:bCs/>
        </w:rPr>
      </w:pPr>
    </w:p>
    <w:p w14:paraId="60806DE6" w14:textId="2F8D0C1D" w:rsidR="00E626DE" w:rsidRDefault="00E626DE" w:rsidP="00C572A7">
      <w:pPr>
        <w:rPr>
          <w:rFonts w:asciiTheme="majorHAnsi" w:hAnsiTheme="majorHAnsi" w:cstheme="majorHAnsi"/>
        </w:rPr>
      </w:pPr>
    </w:p>
    <w:p w14:paraId="51168AC7" w14:textId="68D6D0C1" w:rsidR="004F669D" w:rsidRDefault="004F669D" w:rsidP="00C572A7">
      <w:pPr>
        <w:rPr>
          <w:rFonts w:asciiTheme="majorHAnsi" w:hAnsiTheme="majorHAnsi" w:cstheme="majorHAnsi"/>
        </w:rPr>
      </w:pPr>
    </w:p>
    <w:p w14:paraId="14135B80" w14:textId="45A9F9BE" w:rsidR="004F669D" w:rsidRDefault="004F669D" w:rsidP="00C572A7">
      <w:pPr>
        <w:rPr>
          <w:rFonts w:asciiTheme="majorHAnsi" w:hAnsiTheme="majorHAnsi" w:cstheme="majorHAnsi"/>
        </w:rPr>
      </w:pPr>
    </w:p>
    <w:p w14:paraId="24DEC95D" w14:textId="11DFB860" w:rsidR="004F669D" w:rsidRDefault="004F669D" w:rsidP="00C572A7">
      <w:pPr>
        <w:rPr>
          <w:rFonts w:asciiTheme="majorHAnsi" w:hAnsiTheme="majorHAnsi" w:cstheme="majorHAnsi"/>
        </w:rPr>
      </w:pPr>
    </w:p>
    <w:p w14:paraId="4EB0E835" w14:textId="73C90EF8" w:rsidR="004F669D" w:rsidRDefault="004F669D" w:rsidP="00C572A7">
      <w:pPr>
        <w:rPr>
          <w:rFonts w:asciiTheme="majorHAnsi" w:hAnsiTheme="majorHAnsi" w:cstheme="majorHAnsi"/>
        </w:rPr>
      </w:pPr>
    </w:p>
    <w:p w14:paraId="03503882" w14:textId="379482CF" w:rsidR="004F669D" w:rsidRDefault="004F669D" w:rsidP="00C572A7">
      <w:pPr>
        <w:rPr>
          <w:rFonts w:asciiTheme="majorHAnsi" w:hAnsiTheme="majorHAnsi" w:cstheme="majorHAnsi"/>
        </w:rPr>
      </w:pPr>
    </w:p>
    <w:p w14:paraId="576AFFCA" w14:textId="3EE3C8E4" w:rsidR="004F669D" w:rsidRDefault="004F669D" w:rsidP="00C572A7">
      <w:pPr>
        <w:rPr>
          <w:rFonts w:asciiTheme="majorHAnsi" w:hAnsiTheme="majorHAnsi" w:cstheme="majorHAnsi"/>
        </w:rPr>
      </w:pPr>
    </w:p>
    <w:p w14:paraId="439EAADE" w14:textId="77777777" w:rsidR="004F669D" w:rsidRDefault="004F669D"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364BFCBC" w:rsidR="00D4173B" w:rsidRDefault="00D4173B" w:rsidP="00BD33F4">
      <w:pPr>
        <w:rPr>
          <w:rFonts w:asciiTheme="majorHAnsi" w:hAnsiTheme="majorHAnsi" w:cstheme="majorHAnsi"/>
        </w:rPr>
      </w:pPr>
    </w:p>
    <w:p w14:paraId="1C2B7F7B" w14:textId="77777777" w:rsidR="00D4173B" w:rsidRPr="00BD33F4" w:rsidRDefault="00D4173B" w:rsidP="00BD33F4">
      <w:pPr>
        <w:rPr>
          <w:rFonts w:asciiTheme="majorHAnsi" w:hAnsiTheme="majorHAnsi" w:cstheme="majorHAnsi"/>
        </w:rPr>
      </w:pPr>
    </w:p>
    <w:p w14:paraId="6BF1272F" w14:textId="0F27143E" w:rsidR="00E626DE" w:rsidRDefault="00DE07FA" w:rsidP="00BD33F4">
      <w:pPr>
        <w:rPr>
          <w:rFonts w:asciiTheme="majorHAnsi" w:hAnsiTheme="majorHAnsi" w:cstheme="majorHAnsi"/>
          <w:b/>
        </w:rPr>
      </w:pPr>
      <w:r>
        <w:rPr>
          <w:rFonts w:asciiTheme="majorHAnsi" w:hAnsiTheme="majorHAnsi" w:cstheme="majorHAnsi"/>
          <w:b/>
        </w:rPr>
        <w:t xml:space="preserve">FINANCIAL SUBMISION </w:t>
      </w:r>
    </w:p>
    <w:p w14:paraId="7D2DA0CB" w14:textId="77777777" w:rsidR="00BD33F4" w:rsidRPr="00BD33F4" w:rsidRDefault="00BD33F4" w:rsidP="00BD33F4">
      <w:pPr>
        <w:rPr>
          <w:rFonts w:asciiTheme="majorHAnsi" w:hAnsiTheme="majorHAnsi" w:cstheme="majorHAnsi"/>
        </w:rPr>
      </w:pPr>
    </w:p>
    <w:p w14:paraId="3C99431D" w14:textId="3FB6D6CF"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w:t>
      </w:r>
      <w:r w:rsidR="00CE39DA">
        <w:rPr>
          <w:rFonts w:asciiTheme="majorHAnsi" w:hAnsiTheme="majorHAnsi" w:cstheme="majorHAnsi"/>
          <w:bCs/>
        </w:rPr>
        <w:t>submission/</w:t>
      </w:r>
      <w:r w:rsidR="00384FB4">
        <w:rPr>
          <w:rFonts w:asciiTheme="majorHAnsi" w:hAnsiTheme="majorHAnsi" w:cstheme="majorHAnsi"/>
          <w:bCs/>
        </w:rPr>
        <w:t xml:space="preserve">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14F6B50E" w14:textId="7F8C07D5" w:rsidR="00384FB4" w:rsidRDefault="00384FB4" w:rsidP="001B1121">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3014D731" w14:textId="34E19F58" w:rsidR="000C3D92" w:rsidRPr="00D4173B" w:rsidRDefault="000C3D92" w:rsidP="000C3D92">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p>
          <w:p w14:paraId="0582A6DE" w14:textId="4432800A" w:rsidR="000C3D92" w:rsidRPr="00D4173B" w:rsidRDefault="00541C4D" w:rsidP="000C3D92">
            <w:pPr>
              <w:tabs>
                <w:tab w:val="right" w:pos="7254"/>
              </w:tabs>
              <w:spacing w:before="120" w:after="120"/>
              <w:jc w:val="both"/>
              <w:rPr>
                <w:rFonts w:asciiTheme="majorHAnsi" w:hAnsiTheme="majorHAnsi" w:cstheme="majorHAnsi"/>
                <w:i/>
                <w:iCs/>
                <w:color w:val="000000" w:themeColor="text1"/>
              </w:rPr>
            </w:pPr>
            <w:r w:rsidRPr="00D4173B">
              <w:rPr>
                <w:rFonts w:asciiTheme="majorHAnsi" w:hAnsiTheme="majorHAnsi" w:cstheme="majorHAnsi"/>
                <w:i/>
                <w:iCs/>
                <w:color w:val="000000" w:themeColor="text1"/>
              </w:rPr>
              <w:t>Procurement Department</w:t>
            </w:r>
          </w:p>
          <w:p w14:paraId="623D7472" w14:textId="6066D1E7"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F62D3A" w:rsidRPr="00D4173B">
              <w:rPr>
                <w:rFonts w:asciiTheme="majorHAnsi" w:hAnsiTheme="majorHAnsi" w:cstheme="majorHAnsi"/>
                <w:i/>
                <w:iCs/>
                <w:color w:val="0070C0"/>
              </w:rPr>
              <w:t>Tender.magiraq@maginternational.org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472DAAF4"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sidR="00CE39DA">
        <w:rPr>
          <w:rFonts w:asciiTheme="majorHAnsi" w:hAnsiTheme="majorHAnsi" w:cstheme="majorHAnsi"/>
          <w:color w:val="FF0000"/>
          <w:lang w:val="en-US"/>
        </w:rPr>
        <w:t>Hotel Services in Erbil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SD2</w:t>
      </w:r>
      <w:r w:rsidR="00CE39DA">
        <w:rPr>
          <w:rFonts w:asciiTheme="majorHAnsi" w:hAnsiTheme="majorHAnsi" w:cstheme="majorHAnsi"/>
          <w:color w:val="FF0000"/>
          <w:lang w:val="en-US"/>
        </w:rPr>
        <w:t>4</w:t>
      </w:r>
      <w:r w:rsidRPr="005577B8">
        <w:rPr>
          <w:rFonts w:asciiTheme="majorHAnsi" w:hAnsiTheme="majorHAnsi" w:cstheme="majorHAnsi"/>
          <w:color w:val="FF0000"/>
          <w:lang w:val="en-US"/>
        </w:rPr>
        <w:t>-IQ-EHO-0</w:t>
      </w:r>
      <w:r w:rsidR="00CE39DA">
        <w:rPr>
          <w:rFonts w:asciiTheme="majorHAnsi" w:hAnsiTheme="majorHAnsi" w:cstheme="majorHAnsi"/>
          <w:color w:val="FF0000"/>
          <w:lang w:val="en-US"/>
        </w:rPr>
        <w:t>0</w:t>
      </w:r>
      <w:r w:rsidR="00466437">
        <w:rPr>
          <w:rFonts w:asciiTheme="majorHAnsi" w:hAnsiTheme="majorHAnsi" w:cstheme="majorHAnsi"/>
          <w:color w:val="FF0000"/>
          <w:lang w:val="en-US"/>
        </w:rPr>
        <w:t>1</w:t>
      </w:r>
    </w:p>
    <w:p w14:paraId="0BC9E598" w14:textId="3ED1C0C0" w:rsidR="00D4173B" w:rsidRPr="00CE39DA" w:rsidRDefault="00D4173B" w:rsidP="00D4173B">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w:t>
      </w:r>
      <w:r w:rsidR="00CE39DA" w:rsidRPr="005577B8">
        <w:rPr>
          <w:rFonts w:asciiTheme="majorHAnsi" w:hAnsiTheme="majorHAnsi" w:cstheme="majorHAnsi"/>
          <w:color w:val="FF0000"/>
          <w:lang w:val="en-US"/>
        </w:rPr>
        <w:t xml:space="preserve">Provision of </w:t>
      </w:r>
      <w:r w:rsidR="00CE39DA">
        <w:rPr>
          <w:rFonts w:asciiTheme="majorHAnsi" w:hAnsiTheme="majorHAnsi" w:cstheme="majorHAnsi"/>
          <w:color w:val="FF0000"/>
          <w:lang w:val="en-US"/>
        </w:rPr>
        <w:t>Hotel Services in Erbil</w:t>
      </w:r>
      <w:r w:rsidR="00CE39DA" w:rsidRPr="005577B8">
        <w:rPr>
          <w:rFonts w:asciiTheme="majorHAnsi" w:hAnsiTheme="majorHAnsi" w:cstheme="majorHAnsi"/>
          <w:color w:val="FF0000"/>
        </w:rPr>
        <w:t xml:space="preserve">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SD2</w:t>
      </w:r>
      <w:r w:rsidR="00CE39DA">
        <w:rPr>
          <w:rFonts w:asciiTheme="majorHAnsi" w:hAnsiTheme="majorHAnsi" w:cstheme="majorHAnsi"/>
          <w:color w:val="FF0000"/>
          <w:lang w:val="en-US"/>
        </w:rPr>
        <w:t>4</w:t>
      </w:r>
      <w:r w:rsidRPr="005577B8">
        <w:rPr>
          <w:rFonts w:asciiTheme="majorHAnsi" w:hAnsiTheme="majorHAnsi" w:cstheme="majorHAnsi"/>
          <w:color w:val="FF0000"/>
          <w:lang w:val="en-US"/>
        </w:rPr>
        <w:t>-IQ-EHO-0</w:t>
      </w:r>
      <w:r w:rsidR="00CE39DA">
        <w:rPr>
          <w:rFonts w:asciiTheme="majorHAnsi" w:hAnsiTheme="majorHAnsi" w:cstheme="majorHAnsi"/>
          <w:color w:val="FF0000"/>
          <w:lang w:val="en-US"/>
        </w:rPr>
        <w:t>0</w:t>
      </w:r>
      <w:r w:rsidR="00466437">
        <w:rPr>
          <w:rFonts w:asciiTheme="majorHAnsi" w:hAnsiTheme="majorHAnsi" w:cstheme="majorHAnsi"/>
          <w:color w:val="FF0000"/>
          <w:lang w:val="en-US"/>
        </w:rPr>
        <w:t>1</w:t>
      </w:r>
    </w:p>
    <w:p w14:paraId="0FDC67FC" w14:textId="77777777" w:rsidR="00CE39DA" w:rsidRPr="00CE39DA" w:rsidRDefault="00CE39DA" w:rsidP="00CE39DA">
      <w:pPr>
        <w:spacing w:after="120"/>
        <w:rPr>
          <w:rFonts w:asciiTheme="majorHAnsi" w:hAnsiTheme="majorHAnsi" w:cstheme="majorHAnsi"/>
          <w:b/>
          <w:bCs/>
        </w:rPr>
      </w:pP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lastRenderedPageBreak/>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8F7C9AA">
        <w:rPr>
          <w:rFonts w:cstheme="majorBidi"/>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D4173B">
        <w:trPr>
          <w:trHeight w:val="1926"/>
          <w:jc w:val="center"/>
        </w:trPr>
        <w:tc>
          <w:tcPr>
            <w:tcW w:w="5000" w:type="pct"/>
            <w:shd w:val="clear" w:color="auto" w:fill="auto"/>
          </w:tcPr>
          <w:p w14:paraId="42501303" w14:textId="7FCD2218" w:rsidR="00F62D3A" w:rsidRPr="00E33062" w:rsidRDefault="00F62D3A" w:rsidP="00785D57">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32DCFBF7" w14:textId="753D0E07" w:rsidR="00F62D3A" w:rsidRPr="00BF151A" w:rsidRDefault="00F62D3A" w:rsidP="00785D57">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D4173B" w:rsidRDefault="00F62D3A" w:rsidP="00785D5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464AB08" w14:textId="2DD9F38A" w:rsidR="00F62D3A" w:rsidRPr="00D4173B" w:rsidRDefault="00F62D3A" w:rsidP="00785D5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67BAE9E" w14:textId="5D31F1C2" w:rsidR="00F62D3A" w:rsidRPr="00BF151A" w:rsidRDefault="00F62D3A" w:rsidP="00785D57">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5465F693" w:rsidR="00025DEE" w:rsidRPr="00D4173B" w:rsidRDefault="00CE39DA" w:rsidP="00025DEE">
            <w:pPr>
              <w:pStyle w:val="ListParagraph"/>
              <w:ind w:left="0"/>
              <w:jc w:val="center"/>
              <w:rPr>
                <w:rFonts w:asciiTheme="majorHAnsi" w:hAnsiTheme="majorHAnsi" w:cstheme="majorHAnsi"/>
              </w:rPr>
            </w:pPr>
            <w:r>
              <w:rPr>
                <w:sz w:val="22"/>
                <w:szCs w:val="22"/>
              </w:rPr>
              <w:t>Hotel Services in Erbil</w:t>
            </w:r>
            <w:r w:rsidR="00466437" w:rsidRPr="00D4173B">
              <w:rPr>
                <w:sz w:val="22"/>
                <w:szCs w:val="22"/>
              </w:rPr>
              <w:t xml:space="preserve"> </w:t>
            </w:r>
            <w:r w:rsidR="00F62D3A" w:rsidRPr="00D4173B">
              <w:rPr>
                <w:sz w:val="22"/>
                <w:szCs w:val="22"/>
              </w:rPr>
              <w:t>-</w:t>
            </w:r>
            <w:r w:rsidR="00F62D3A" w:rsidRPr="00D4173B">
              <w:rPr>
                <w:rFonts w:asciiTheme="majorHAnsi" w:hAnsiTheme="majorHAnsi" w:cstheme="majorBidi"/>
                <w:sz w:val="22"/>
                <w:szCs w:val="22"/>
              </w:rPr>
              <w:t xml:space="preserve"> </w:t>
            </w:r>
            <w:r w:rsidR="00F62D3A" w:rsidRPr="00D4173B">
              <w:rPr>
                <w:sz w:val="22"/>
                <w:szCs w:val="22"/>
              </w:rPr>
              <w:t>SD2</w:t>
            </w:r>
            <w:r>
              <w:rPr>
                <w:sz w:val="22"/>
                <w:szCs w:val="22"/>
              </w:rPr>
              <w:t>4</w:t>
            </w:r>
            <w:r w:rsidR="00F62D3A" w:rsidRPr="00D4173B">
              <w:rPr>
                <w:sz w:val="22"/>
                <w:szCs w:val="22"/>
              </w:rPr>
              <w:t>-IQ-EHO-0</w:t>
            </w:r>
            <w:r>
              <w:rPr>
                <w:sz w:val="22"/>
                <w:szCs w:val="22"/>
              </w:rPr>
              <w:t>0</w:t>
            </w:r>
            <w:r w:rsidR="00466437">
              <w:rPr>
                <w:sz w:val="22"/>
                <w:szCs w:val="22"/>
              </w:rPr>
              <w:t>1</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6ED070C0" w:rsidR="00025DEE" w:rsidRPr="00025DEE" w:rsidRDefault="00CE39DA" w:rsidP="00025DEE">
            <w:pPr>
              <w:pStyle w:val="ListParagraph"/>
              <w:ind w:left="0"/>
              <w:jc w:val="center"/>
              <w:rPr>
                <w:rFonts w:asciiTheme="majorHAnsi" w:hAnsiTheme="majorHAnsi" w:cstheme="majorHAnsi"/>
                <w:color w:val="FF0000"/>
              </w:rPr>
            </w:pPr>
            <w:r>
              <w:rPr>
                <w:sz w:val="22"/>
                <w:szCs w:val="22"/>
              </w:rPr>
              <w:t>Hotel Services in Erbil</w:t>
            </w:r>
            <w:r w:rsidR="00466437" w:rsidRPr="00D4173B">
              <w:rPr>
                <w:sz w:val="22"/>
                <w:szCs w:val="22"/>
              </w:rPr>
              <w:t xml:space="preserve"> </w:t>
            </w:r>
            <w:r w:rsidR="00F62D3A" w:rsidRPr="005577B8">
              <w:rPr>
                <w:sz w:val="22"/>
                <w:szCs w:val="22"/>
              </w:rPr>
              <w:t>-</w:t>
            </w:r>
            <w:r w:rsidR="00F62D3A" w:rsidRPr="005577B8">
              <w:rPr>
                <w:rFonts w:asciiTheme="majorHAnsi" w:hAnsiTheme="majorHAnsi" w:cstheme="majorBidi"/>
                <w:sz w:val="22"/>
                <w:szCs w:val="22"/>
              </w:rPr>
              <w:t xml:space="preserve"> </w:t>
            </w:r>
            <w:r w:rsidR="00F62D3A" w:rsidRPr="005577B8">
              <w:rPr>
                <w:sz w:val="22"/>
                <w:szCs w:val="22"/>
              </w:rPr>
              <w:t>SD2</w:t>
            </w:r>
            <w:r>
              <w:rPr>
                <w:sz w:val="22"/>
                <w:szCs w:val="22"/>
              </w:rPr>
              <w:t>4</w:t>
            </w:r>
            <w:r w:rsidR="00F62D3A" w:rsidRPr="005577B8">
              <w:rPr>
                <w:sz w:val="22"/>
                <w:szCs w:val="22"/>
              </w:rPr>
              <w:t>-IQ-EHO-0</w:t>
            </w:r>
            <w:r>
              <w:rPr>
                <w:sz w:val="22"/>
                <w:szCs w:val="22"/>
              </w:rPr>
              <w:t>0</w:t>
            </w:r>
            <w:r w:rsidR="00466437">
              <w:rPr>
                <w:sz w:val="22"/>
                <w:szCs w:val="22"/>
              </w:rPr>
              <w:t>1</w:t>
            </w:r>
          </w:p>
        </w:tc>
      </w:tr>
    </w:tbl>
    <w:p w14:paraId="497F60AA" w14:textId="77777777" w:rsidR="00025DEE" w:rsidRDefault="00025DEE" w:rsidP="00025DEE">
      <w:pPr>
        <w:pStyle w:val="ListParagraph"/>
        <w:rPr>
          <w:rFonts w:asciiTheme="majorHAnsi" w:hAnsiTheme="majorHAnsi" w:cstheme="majorHAnsi"/>
        </w:rPr>
      </w:pPr>
    </w:p>
    <w:p w14:paraId="51D7F1EE" w14:textId="211B0DD0"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All documents</w:t>
      </w:r>
      <w:r w:rsidR="00466437">
        <w:rPr>
          <w:rFonts w:asciiTheme="majorHAnsi" w:hAnsiTheme="majorHAnsi" w:cstheme="majorHAnsi"/>
        </w:rPr>
        <w:t xml:space="preserve"> </w:t>
      </w:r>
      <w:r w:rsidRPr="00BF151A">
        <w:rPr>
          <w:rFonts w:asciiTheme="majorHAnsi" w:hAnsiTheme="majorHAnsi" w:cstheme="majorHAnsi"/>
        </w:rPr>
        <w:t xml:space="preserve">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785D5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785D5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77777777" w:rsidR="00F850AE" w:rsidRPr="00BF151A" w:rsidRDefault="00F850AE"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785D57">
        <w:trPr>
          <w:trHeight w:val="432"/>
        </w:trPr>
        <w:tc>
          <w:tcPr>
            <w:tcW w:w="10491" w:type="dxa"/>
            <w:shd w:val="clear" w:color="auto" w:fill="D9D9D9" w:themeFill="background1" w:themeFillShade="D9"/>
            <w:vAlign w:val="center"/>
          </w:tcPr>
          <w:p w14:paraId="6BA7B802" w14:textId="4547CD1C" w:rsidR="00F850AE" w:rsidRPr="00BF151A" w:rsidRDefault="00F850AE" w:rsidP="00785D57">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2C6DAA53"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lastRenderedPageBreak/>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evaluation</w:t>
      </w:r>
      <w:r w:rsidR="00CA4C59">
        <w:rPr>
          <w:rFonts w:asciiTheme="majorHAnsi" w:hAnsiTheme="majorHAnsi" w:cstheme="majorHAnsi"/>
          <w:bCs/>
          <w:lang w:eastAsia="en-GB"/>
        </w:rPr>
        <w:t>.</w:t>
      </w:r>
    </w:p>
    <w:p w14:paraId="455AA794" w14:textId="32031128" w:rsidR="00785D57" w:rsidRPr="00785D57" w:rsidRDefault="00785D57" w:rsidP="00785D57">
      <w:pPr>
        <w:tabs>
          <w:tab w:val="left" w:pos="709"/>
        </w:tabs>
        <w:rPr>
          <w:rFonts w:ascii="Calibri" w:eastAsia="Times New Roman" w:hAnsi="Calibri" w:cs="Calibri"/>
          <w:b/>
          <w:bCs/>
          <w:lang w:val="en-US"/>
        </w:rPr>
      </w:pPr>
      <w:r w:rsidRPr="00785D57">
        <w:rPr>
          <w:rFonts w:ascii="Calibri" w:eastAsia="Times New Roman" w:hAnsi="Calibri" w:cs="Calibri"/>
          <w:b/>
          <w:bCs/>
          <w:lang w:val="en-US"/>
        </w:rPr>
        <w:t>Technical Evaluation - Carries 57% evaluation weightage</w:t>
      </w:r>
    </w:p>
    <w:p w14:paraId="74A86CF3" w14:textId="201D3713" w:rsidR="00F850AE" w:rsidRDefault="00F850AE" w:rsidP="00466437">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w:t>
      </w:r>
    </w:p>
    <w:p w14:paraId="4AA8E3F4" w14:textId="28765D76" w:rsidR="00CE39DA" w:rsidRDefault="00CE39DA" w:rsidP="00CE39DA">
      <w:pPr>
        <w:spacing w:line="276" w:lineRule="auto"/>
        <w:rPr>
          <w:rFonts w:ascii="Calibri" w:eastAsia="Times New Roman" w:hAnsi="Calibri" w:cs="Calibri"/>
          <w:lang w:val="en-US"/>
        </w:rPr>
      </w:pPr>
      <w:r>
        <w:rPr>
          <w:rFonts w:ascii="Calibri" w:eastAsia="Times New Roman" w:hAnsi="Calibri" w:cs="Calibri"/>
          <w:lang w:val="en-US"/>
        </w:rPr>
        <w:t xml:space="preserve">Bidders which pass the administrative evaluation will be technically evaluated by a visit by the procurement committee and evaluation of the facility using Annex </w:t>
      </w:r>
      <w:r w:rsidR="00785D57">
        <w:rPr>
          <w:rFonts w:ascii="Calibri" w:eastAsia="Times New Roman" w:hAnsi="Calibri" w:cs="Calibri"/>
          <w:lang w:val="en-US"/>
        </w:rPr>
        <w:t>2</w:t>
      </w:r>
      <w:r>
        <w:rPr>
          <w:rFonts w:ascii="Calibri" w:eastAsia="Times New Roman" w:hAnsi="Calibri" w:cs="Calibri"/>
          <w:lang w:val="en-US"/>
        </w:rPr>
        <w:t xml:space="preserve">- Minimum Requirements and also carry out a safety and security assessment of the facility.   </w:t>
      </w:r>
    </w:p>
    <w:p w14:paraId="7F2D9AE5" w14:textId="77777777" w:rsidR="00466437" w:rsidRPr="00CE39DA" w:rsidRDefault="00466437" w:rsidP="00466437">
      <w:pPr>
        <w:tabs>
          <w:tab w:val="left" w:pos="709"/>
        </w:tabs>
        <w:jc w:val="both"/>
        <w:rPr>
          <w:rFonts w:asciiTheme="majorHAnsi" w:hAnsiTheme="majorHAnsi" w:cstheme="majorHAnsi"/>
          <w:bCs/>
          <w:lang w:val="en-US" w:eastAsia="en-GB"/>
        </w:rPr>
      </w:pPr>
    </w:p>
    <w:tbl>
      <w:tblPr>
        <w:tblStyle w:val="TableGrid1"/>
        <w:tblW w:w="6562" w:type="dxa"/>
        <w:jc w:val="center"/>
        <w:tblLook w:val="04A0" w:firstRow="1" w:lastRow="0" w:firstColumn="1" w:lastColumn="0" w:noHBand="0" w:noVBand="1"/>
      </w:tblPr>
      <w:tblGrid>
        <w:gridCol w:w="646"/>
        <w:gridCol w:w="4623"/>
        <w:gridCol w:w="1293"/>
      </w:tblGrid>
      <w:tr w:rsidR="00785D57" w:rsidRPr="00CC5061" w14:paraId="41EC3873" w14:textId="77777777" w:rsidTr="00785D57">
        <w:trPr>
          <w:trHeight w:val="730"/>
          <w:jc w:val="center"/>
        </w:trPr>
        <w:tc>
          <w:tcPr>
            <w:tcW w:w="0" w:type="auto"/>
            <w:shd w:val="clear" w:color="auto" w:fill="D0CECE"/>
          </w:tcPr>
          <w:p w14:paraId="5D253F0C"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w:t>
            </w:r>
          </w:p>
        </w:tc>
        <w:tc>
          <w:tcPr>
            <w:tcW w:w="0" w:type="auto"/>
            <w:shd w:val="clear" w:color="auto" w:fill="D0CECE"/>
          </w:tcPr>
          <w:p w14:paraId="78F08B4B" w14:textId="77777777" w:rsidR="00785D57" w:rsidRPr="003707E3" w:rsidRDefault="00785D57" w:rsidP="00785D57">
            <w:pPr>
              <w:jc w:val="both"/>
              <w:rPr>
                <w:rFonts w:ascii="Calibri" w:eastAsia="Times New Roman" w:hAnsi="Calibri" w:cs="Calibri"/>
                <w:b/>
                <w:bCs/>
              </w:rPr>
            </w:pPr>
            <w:r w:rsidRPr="003707E3">
              <w:rPr>
                <w:rFonts w:eastAsia="Times New Roman" w:cs="Arial"/>
                <w:b/>
                <w:bCs/>
                <w:color w:val="222222"/>
                <w:u w:val="single"/>
              </w:rPr>
              <w:t>Minimum Requirements</w:t>
            </w:r>
          </w:p>
        </w:tc>
        <w:tc>
          <w:tcPr>
            <w:tcW w:w="1293" w:type="dxa"/>
            <w:shd w:val="clear" w:color="auto" w:fill="D0CECE"/>
          </w:tcPr>
          <w:p w14:paraId="4BBB8201" w14:textId="2044D265" w:rsidR="00785D57" w:rsidRPr="003707E3" w:rsidRDefault="00785D57" w:rsidP="00785D57">
            <w:pPr>
              <w:jc w:val="both"/>
              <w:rPr>
                <w:rFonts w:ascii="Calibri" w:eastAsia="Times New Roman" w:hAnsi="Calibri" w:cs="Calibri"/>
                <w:b/>
                <w:bCs/>
              </w:rPr>
            </w:pPr>
            <w:r>
              <w:rPr>
                <w:rFonts w:ascii="Calibri" w:eastAsia="Times New Roman" w:hAnsi="Calibri" w:cs="Calibri"/>
                <w:b/>
                <w:bCs/>
              </w:rPr>
              <w:t>Weightage</w:t>
            </w:r>
          </w:p>
        </w:tc>
      </w:tr>
      <w:tr w:rsidR="00785D57" w:rsidRPr="00CC5061" w14:paraId="7792843E" w14:textId="77777777" w:rsidTr="00785D57">
        <w:trPr>
          <w:trHeight w:val="490"/>
          <w:jc w:val="center"/>
        </w:trPr>
        <w:tc>
          <w:tcPr>
            <w:tcW w:w="0" w:type="auto"/>
          </w:tcPr>
          <w:p w14:paraId="1E3E5F15" w14:textId="77777777" w:rsidR="00785D57" w:rsidRPr="003707E3" w:rsidRDefault="00785D57" w:rsidP="00785D57">
            <w:pPr>
              <w:jc w:val="both"/>
              <w:rPr>
                <w:rFonts w:ascii="Calibri" w:eastAsia="Times New Roman" w:hAnsi="Calibri" w:cs="Calibri"/>
                <w:b/>
                <w:bCs/>
              </w:rPr>
            </w:pPr>
            <w:r>
              <w:rPr>
                <w:rFonts w:ascii="Calibri" w:eastAsia="Times New Roman" w:hAnsi="Calibri" w:cs="Calibri"/>
                <w:b/>
                <w:bCs/>
              </w:rPr>
              <w:t xml:space="preserve">1.1 </w:t>
            </w:r>
          </w:p>
        </w:tc>
        <w:tc>
          <w:tcPr>
            <w:tcW w:w="0" w:type="auto"/>
          </w:tcPr>
          <w:p w14:paraId="59D27129" w14:textId="77777777" w:rsidR="00785D57" w:rsidRPr="003707E3" w:rsidRDefault="00785D57" w:rsidP="00785D57">
            <w:pPr>
              <w:rPr>
                <w:rFonts w:ascii="Calibri" w:eastAsia="Times New Roman" w:hAnsi="Calibri" w:cs="Calibri"/>
              </w:rPr>
            </w:pPr>
            <w:r>
              <w:rPr>
                <w:rFonts w:ascii="Calibri" w:eastAsia="Times New Roman" w:hAnsi="Calibri" w:cs="Calibri"/>
              </w:rPr>
              <w:t xml:space="preserve">Star rating (minimum 3 stars or equivalent) </w:t>
            </w:r>
          </w:p>
        </w:tc>
        <w:tc>
          <w:tcPr>
            <w:tcW w:w="1293" w:type="dxa"/>
          </w:tcPr>
          <w:p w14:paraId="746E0859" w14:textId="279DB661"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28CD5EA1" w14:textId="77777777" w:rsidTr="00785D57">
        <w:trPr>
          <w:trHeight w:val="490"/>
          <w:jc w:val="center"/>
        </w:trPr>
        <w:tc>
          <w:tcPr>
            <w:tcW w:w="0" w:type="auto"/>
          </w:tcPr>
          <w:p w14:paraId="4AE8325D" w14:textId="77777777" w:rsidR="00785D57"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2</w:t>
            </w:r>
          </w:p>
          <w:p w14:paraId="48E0ECBB" w14:textId="77777777" w:rsidR="00785D57" w:rsidRPr="003707E3" w:rsidRDefault="00785D57" w:rsidP="00785D57">
            <w:pPr>
              <w:jc w:val="both"/>
              <w:rPr>
                <w:rFonts w:ascii="Calibri" w:eastAsia="Times New Roman" w:hAnsi="Calibri" w:cs="Calibri"/>
                <w:b/>
                <w:bCs/>
              </w:rPr>
            </w:pPr>
          </w:p>
        </w:tc>
        <w:tc>
          <w:tcPr>
            <w:tcW w:w="0" w:type="auto"/>
          </w:tcPr>
          <w:p w14:paraId="77E69EB1"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Availability of Wi-Fi in bedrooms and common areas</w:t>
            </w:r>
          </w:p>
        </w:tc>
        <w:tc>
          <w:tcPr>
            <w:tcW w:w="1293" w:type="dxa"/>
          </w:tcPr>
          <w:p w14:paraId="1E5A2B26" w14:textId="686A6520"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08D59617" w14:textId="77777777" w:rsidTr="00785D57">
        <w:trPr>
          <w:trHeight w:val="239"/>
          <w:jc w:val="center"/>
        </w:trPr>
        <w:tc>
          <w:tcPr>
            <w:tcW w:w="0" w:type="auto"/>
          </w:tcPr>
          <w:p w14:paraId="69B414DC"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3</w:t>
            </w:r>
          </w:p>
        </w:tc>
        <w:tc>
          <w:tcPr>
            <w:tcW w:w="0" w:type="auto"/>
          </w:tcPr>
          <w:p w14:paraId="3C913BFA"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Availability of Laundry Service</w:t>
            </w:r>
          </w:p>
        </w:tc>
        <w:tc>
          <w:tcPr>
            <w:tcW w:w="1293" w:type="dxa"/>
          </w:tcPr>
          <w:p w14:paraId="3C938E38" w14:textId="54B67E2D"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54E0A1F3" w14:textId="77777777" w:rsidTr="00785D57">
        <w:trPr>
          <w:trHeight w:val="479"/>
          <w:jc w:val="center"/>
        </w:trPr>
        <w:tc>
          <w:tcPr>
            <w:tcW w:w="0" w:type="auto"/>
          </w:tcPr>
          <w:p w14:paraId="04EB98D2"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4</w:t>
            </w:r>
          </w:p>
        </w:tc>
        <w:tc>
          <w:tcPr>
            <w:tcW w:w="0" w:type="auto"/>
          </w:tcPr>
          <w:p w14:paraId="5D52670F"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Food Facilities within walking distance of the hotel or in the hotel</w:t>
            </w:r>
          </w:p>
        </w:tc>
        <w:tc>
          <w:tcPr>
            <w:tcW w:w="1293" w:type="dxa"/>
          </w:tcPr>
          <w:p w14:paraId="2682C8F5" w14:textId="7813605B"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6036D4DA" w14:textId="77777777" w:rsidTr="00785D57">
        <w:trPr>
          <w:trHeight w:val="250"/>
          <w:jc w:val="center"/>
        </w:trPr>
        <w:tc>
          <w:tcPr>
            <w:tcW w:w="0" w:type="auto"/>
          </w:tcPr>
          <w:p w14:paraId="48B1C158"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5</w:t>
            </w:r>
          </w:p>
        </w:tc>
        <w:tc>
          <w:tcPr>
            <w:tcW w:w="0" w:type="auto"/>
          </w:tcPr>
          <w:p w14:paraId="6653242F"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Pay by monthly invoice</w:t>
            </w:r>
          </w:p>
        </w:tc>
        <w:tc>
          <w:tcPr>
            <w:tcW w:w="1293" w:type="dxa"/>
          </w:tcPr>
          <w:p w14:paraId="7C955E39" w14:textId="1A64855D"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42191B76" w14:textId="77777777" w:rsidTr="00785D57">
        <w:trPr>
          <w:trHeight w:val="479"/>
          <w:jc w:val="center"/>
        </w:trPr>
        <w:tc>
          <w:tcPr>
            <w:tcW w:w="0" w:type="auto"/>
          </w:tcPr>
          <w:p w14:paraId="3290A0CA"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6</w:t>
            </w:r>
          </w:p>
        </w:tc>
        <w:tc>
          <w:tcPr>
            <w:tcW w:w="0" w:type="auto"/>
          </w:tcPr>
          <w:p w14:paraId="717526F1"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Contract Manager available to liaise with MAG</w:t>
            </w:r>
          </w:p>
        </w:tc>
        <w:tc>
          <w:tcPr>
            <w:tcW w:w="1293" w:type="dxa"/>
          </w:tcPr>
          <w:p w14:paraId="31F94134" w14:textId="1D5CEF78"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0D5279D3" w14:textId="77777777" w:rsidTr="00785D57">
        <w:trPr>
          <w:trHeight w:val="239"/>
          <w:jc w:val="center"/>
        </w:trPr>
        <w:tc>
          <w:tcPr>
            <w:tcW w:w="0" w:type="auto"/>
          </w:tcPr>
          <w:p w14:paraId="583F4B7E"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7</w:t>
            </w:r>
          </w:p>
        </w:tc>
        <w:tc>
          <w:tcPr>
            <w:tcW w:w="0" w:type="auto"/>
          </w:tcPr>
          <w:p w14:paraId="0F400182"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Can book via email</w:t>
            </w:r>
          </w:p>
        </w:tc>
        <w:tc>
          <w:tcPr>
            <w:tcW w:w="1293" w:type="dxa"/>
          </w:tcPr>
          <w:p w14:paraId="38874916" w14:textId="115B884B" w:rsidR="00785D57" w:rsidRPr="003707E3" w:rsidRDefault="00785D57" w:rsidP="00785D57">
            <w:pPr>
              <w:jc w:val="center"/>
              <w:rPr>
                <w:rFonts w:ascii="Calibri" w:eastAsia="Times New Roman" w:hAnsi="Calibri" w:cs="Calibri"/>
              </w:rPr>
            </w:pPr>
            <w:r>
              <w:rPr>
                <w:rFonts w:ascii="Calibri" w:eastAsia="Times New Roman" w:hAnsi="Calibri" w:cs="Calibri"/>
              </w:rPr>
              <w:t>3</w:t>
            </w:r>
          </w:p>
        </w:tc>
      </w:tr>
      <w:tr w:rsidR="00785D57" w:rsidRPr="00CC5061" w14:paraId="777018CB" w14:textId="77777777" w:rsidTr="00785D57">
        <w:trPr>
          <w:trHeight w:val="250"/>
          <w:jc w:val="center"/>
        </w:trPr>
        <w:tc>
          <w:tcPr>
            <w:tcW w:w="0" w:type="auto"/>
          </w:tcPr>
          <w:p w14:paraId="30184FBF"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8</w:t>
            </w:r>
          </w:p>
        </w:tc>
        <w:tc>
          <w:tcPr>
            <w:tcW w:w="0" w:type="auto"/>
          </w:tcPr>
          <w:p w14:paraId="2FB81FCA"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Clean, Modern hotel rooms and facilities</w:t>
            </w:r>
          </w:p>
        </w:tc>
        <w:tc>
          <w:tcPr>
            <w:tcW w:w="1293" w:type="dxa"/>
          </w:tcPr>
          <w:p w14:paraId="65B36E90" w14:textId="60F9A011"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0E4CC59C" w14:textId="77777777" w:rsidTr="00785D57">
        <w:trPr>
          <w:trHeight w:val="448"/>
          <w:jc w:val="center"/>
        </w:trPr>
        <w:tc>
          <w:tcPr>
            <w:tcW w:w="0" w:type="auto"/>
          </w:tcPr>
          <w:p w14:paraId="22741C3C"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9</w:t>
            </w:r>
          </w:p>
        </w:tc>
        <w:tc>
          <w:tcPr>
            <w:tcW w:w="0" w:type="auto"/>
          </w:tcPr>
          <w:p w14:paraId="5B6BE045"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Availability of a day li</w:t>
            </w:r>
            <w:r>
              <w:rPr>
                <w:rFonts w:ascii="Calibri" w:eastAsia="Times New Roman" w:hAnsi="Calibri" w:cs="Calibri"/>
              </w:rPr>
              <w:t>t</w:t>
            </w:r>
            <w:r w:rsidRPr="003707E3">
              <w:rPr>
                <w:rFonts w:ascii="Calibri" w:eastAsia="Times New Roman" w:hAnsi="Calibri" w:cs="Calibri"/>
              </w:rPr>
              <w:t xml:space="preserve"> conference Room  </w:t>
            </w:r>
          </w:p>
        </w:tc>
        <w:tc>
          <w:tcPr>
            <w:tcW w:w="1293" w:type="dxa"/>
          </w:tcPr>
          <w:p w14:paraId="701C8275" w14:textId="0BF2EA92" w:rsidR="00785D57" w:rsidRPr="00EE26ED" w:rsidRDefault="00785D57" w:rsidP="00785D57">
            <w:pPr>
              <w:jc w:val="center"/>
              <w:rPr>
                <w:rFonts w:ascii="Calibri" w:eastAsia="Times New Roman" w:hAnsi="Calibri" w:cs="Calibri"/>
                <w:b/>
                <w:bCs/>
                <w:sz w:val="16"/>
                <w:szCs w:val="16"/>
              </w:rPr>
            </w:pPr>
            <w:r w:rsidRPr="008544A9">
              <w:rPr>
                <w:rFonts w:ascii="Calibri" w:eastAsia="Times New Roman" w:hAnsi="Calibri" w:cs="Calibri"/>
              </w:rPr>
              <w:t>3</w:t>
            </w:r>
          </w:p>
        </w:tc>
      </w:tr>
      <w:tr w:rsidR="00785D57" w:rsidRPr="00CC5061" w14:paraId="4A8066CB" w14:textId="77777777" w:rsidTr="00785D57">
        <w:trPr>
          <w:trHeight w:val="490"/>
          <w:jc w:val="center"/>
        </w:trPr>
        <w:tc>
          <w:tcPr>
            <w:tcW w:w="0" w:type="auto"/>
          </w:tcPr>
          <w:p w14:paraId="3245AB11"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0</w:t>
            </w:r>
          </w:p>
        </w:tc>
        <w:tc>
          <w:tcPr>
            <w:tcW w:w="0" w:type="auto"/>
          </w:tcPr>
          <w:p w14:paraId="35C08A43"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 xml:space="preserve">Are you able to fix your prices for the duration of the agreement?  </w:t>
            </w:r>
          </w:p>
        </w:tc>
        <w:tc>
          <w:tcPr>
            <w:tcW w:w="1293" w:type="dxa"/>
          </w:tcPr>
          <w:p w14:paraId="256DE55D" w14:textId="011DA2A8"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3546FBE8" w14:textId="77777777" w:rsidTr="00785D57">
        <w:trPr>
          <w:trHeight w:val="479"/>
          <w:jc w:val="center"/>
        </w:trPr>
        <w:tc>
          <w:tcPr>
            <w:tcW w:w="0" w:type="auto"/>
          </w:tcPr>
          <w:p w14:paraId="3AF45529" w14:textId="7777777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1</w:t>
            </w:r>
          </w:p>
        </w:tc>
        <w:tc>
          <w:tcPr>
            <w:tcW w:w="0" w:type="auto"/>
          </w:tcPr>
          <w:p w14:paraId="4A73D073"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Payment terms: Cheque or Bank transfer, up to 30 days after submission of invoice</w:t>
            </w:r>
          </w:p>
        </w:tc>
        <w:tc>
          <w:tcPr>
            <w:tcW w:w="1293" w:type="dxa"/>
          </w:tcPr>
          <w:p w14:paraId="1024A1CB" w14:textId="68F5C2AC"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1D88DB5F" w14:textId="77777777" w:rsidTr="00785D57">
        <w:trPr>
          <w:trHeight w:val="239"/>
          <w:jc w:val="center"/>
        </w:trPr>
        <w:tc>
          <w:tcPr>
            <w:tcW w:w="0" w:type="auto"/>
          </w:tcPr>
          <w:p w14:paraId="60FEBF96" w14:textId="6A48D4CE"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12</w:t>
            </w:r>
          </w:p>
        </w:tc>
        <w:tc>
          <w:tcPr>
            <w:tcW w:w="0" w:type="auto"/>
          </w:tcPr>
          <w:p w14:paraId="2808DAC6"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Guarded Entry to the Hotel -24/7</w:t>
            </w:r>
          </w:p>
        </w:tc>
        <w:tc>
          <w:tcPr>
            <w:tcW w:w="1293" w:type="dxa"/>
          </w:tcPr>
          <w:p w14:paraId="658AE5E5" w14:textId="373A30CE"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2FB2F974" w14:textId="77777777" w:rsidTr="00785D57">
        <w:trPr>
          <w:trHeight w:val="239"/>
          <w:jc w:val="center"/>
        </w:trPr>
        <w:tc>
          <w:tcPr>
            <w:tcW w:w="0" w:type="auto"/>
          </w:tcPr>
          <w:p w14:paraId="26548D3A" w14:textId="608B8B26"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13</w:t>
            </w:r>
          </w:p>
        </w:tc>
        <w:tc>
          <w:tcPr>
            <w:tcW w:w="0" w:type="auto"/>
          </w:tcPr>
          <w:p w14:paraId="14BAA903"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24/7 Reception</w:t>
            </w:r>
          </w:p>
        </w:tc>
        <w:tc>
          <w:tcPr>
            <w:tcW w:w="1293" w:type="dxa"/>
          </w:tcPr>
          <w:p w14:paraId="1233E512" w14:textId="4E6F187D"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7399474C" w14:textId="77777777" w:rsidTr="00785D57">
        <w:trPr>
          <w:trHeight w:val="239"/>
          <w:jc w:val="center"/>
        </w:trPr>
        <w:tc>
          <w:tcPr>
            <w:tcW w:w="0" w:type="auto"/>
          </w:tcPr>
          <w:p w14:paraId="00189C4E" w14:textId="3BB89656"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4</w:t>
            </w:r>
          </w:p>
        </w:tc>
        <w:tc>
          <w:tcPr>
            <w:tcW w:w="0" w:type="auto"/>
          </w:tcPr>
          <w:p w14:paraId="4B31028D"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Smoke Detectors throughout the hotel</w:t>
            </w:r>
          </w:p>
        </w:tc>
        <w:tc>
          <w:tcPr>
            <w:tcW w:w="1293" w:type="dxa"/>
          </w:tcPr>
          <w:p w14:paraId="35875E2D" w14:textId="170B6275"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74009749" w14:textId="77777777" w:rsidTr="00785D57">
        <w:trPr>
          <w:trHeight w:val="490"/>
          <w:jc w:val="center"/>
        </w:trPr>
        <w:tc>
          <w:tcPr>
            <w:tcW w:w="0" w:type="auto"/>
          </w:tcPr>
          <w:p w14:paraId="5A511B08" w14:textId="5823BD52"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5</w:t>
            </w:r>
          </w:p>
        </w:tc>
        <w:tc>
          <w:tcPr>
            <w:tcW w:w="0" w:type="auto"/>
          </w:tcPr>
          <w:p w14:paraId="7486D573"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Fire Extinguisher/Sprinklers- Sufficient for the size of the hotel</w:t>
            </w:r>
          </w:p>
        </w:tc>
        <w:tc>
          <w:tcPr>
            <w:tcW w:w="1293" w:type="dxa"/>
          </w:tcPr>
          <w:p w14:paraId="63595A2C" w14:textId="2ACCDD53"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634F5A5C" w14:textId="77777777" w:rsidTr="00785D57">
        <w:trPr>
          <w:trHeight w:val="239"/>
          <w:jc w:val="center"/>
        </w:trPr>
        <w:tc>
          <w:tcPr>
            <w:tcW w:w="0" w:type="auto"/>
          </w:tcPr>
          <w:p w14:paraId="55B8BF22" w14:textId="48B206EB"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6</w:t>
            </w:r>
          </w:p>
        </w:tc>
        <w:tc>
          <w:tcPr>
            <w:tcW w:w="0" w:type="auto"/>
          </w:tcPr>
          <w:p w14:paraId="2B895FAF"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Availability of Fire Exits</w:t>
            </w:r>
          </w:p>
        </w:tc>
        <w:tc>
          <w:tcPr>
            <w:tcW w:w="1293" w:type="dxa"/>
          </w:tcPr>
          <w:p w14:paraId="3B9E860A" w14:textId="1053832F"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234DBC00" w14:textId="77777777" w:rsidTr="00785D57">
        <w:trPr>
          <w:trHeight w:val="490"/>
          <w:jc w:val="center"/>
        </w:trPr>
        <w:tc>
          <w:tcPr>
            <w:tcW w:w="0" w:type="auto"/>
          </w:tcPr>
          <w:p w14:paraId="764A6644" w14:textId="1A234DD8"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7</w:t>
            </w:r>
          </w:p>
        </w:tc>
        <w:tc>
          <w:tcPr>
            <w:tcW w:w="0" w:type="auto"/>
          </w:tcPr>
          <w:p w14:paraId="1F423FA8"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Key card entry on guest room doors (no standard keys)</w:t>
            </w:r>
          </w:p>
        </w:tc>
        <w:tc>
          <w:tcPr>
            <w:tcW w:w="1293" w:type="dxa"/>
          </w:tcPr>
          <w:p w14:paraId="0F243BD0" w14:textId="6EDC673B"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0587BCC0" w14:textId="77777777" w:rsidTr="00785D57">
        <w:trPr>
          <w:trHeight w:val="479"/>
          <w:jc w:val="center"/>
        </w:trPr>
        <w:tc>
          <w:tcPr>
            <w:tcW w:w="0" w:type="auto"/>
          </w:tcPr>
          <w:p w14:paraId="7832065E" w14:textId="3544A4F7"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8</w:t>
            </w:r>
          </w:p>
        </w:tc>
        <w:tc>
          <w:tcPr>
            <w:tcW w:w="0" w:type="auto"/>
          </w:tcPr>
          <w:p w14:paraId="322B3118"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No internal joining room doors in guest rooms</w:t>
            </w:r>
          </w:p>
        </w:tc>
        <w:tc>
          <w:tcPr>
            <w:tcW w:w="1293" w:type="dxa"/>
          </w:tcPr>
          <w:p w14:paraId="37BF1B61" w14:textId="18713560"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r w:rsidR="00785D57" w:rsidRPr="00CC5061" w14:paraId="49256A03" w14:textId="77777777" w:rsidTr="00785D57">
        <w:trPr>
          <w:trHeight w:val="490"/>
          <w:jc w:val="center"/>
        </w:trPr>
        <w:tc>
          <w:tcPr>
            <w:tcW w:w="0" w:type="auto"/>
          </w:tcPr>
          <w:p w14:paraId="4360D81C" w14:textId="3A477192" w:rsidR="00785D57" w:rsidRPr="003707E3" w:rsidRDefault="00785D57" w:rsidP="00785D57">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19</w:t>
            </w:r>
          </w:p>
        </w:tc>
        <w:tc>
          <w:tcPr>
            <w:tcW w:w="0" w:type="auto"/>
          </w:tcPr>
          <w:p w14:paraId="754F7326" w14:textId="77777777" w:rsidR="00785D57" w:rsidRPr="003707E3" w:rsidRDefault="00785D57" w:rsidP="00785D57">
            <w:pPr>
              <w:rPr>
                <w:rFonts w:ascii="Calibri" w:eastAsia="Times New Roman" w:hAnsi="Calibri" w:cs="Calibri"/>
              </w:rPr>
            </w:pPr>
            <w:r w:rsidRPr="003707E3">
              <w:rPr>
                <w:rFonts w:ascii="Calibri" w:eastAsia="Times New Roman" w:hAnsi="Calibri" w:cs="Calibri"/>
              </w:rPr>
              <w:t>Search facilities on entry, electronic or manual</w:t>
            </w:r>
          </w:p>
        </w:tc>
        <w:tc>
          <w:tcPr>
            <w:tcW w:w="1293" w:type="dxa"/>
          </w:tcPr>
          <w:p w14:paraId="471358E8" w14:textId="4A196FED" w:rsidR="00785D57" w:rsidRPr="003707E3" w:rsidRDefault="00785D57" w:rsidP="00785D57">
            <w:pPr>
              <w:jc w:val="center"/>
              <w:rPr>
                <w:rFonts w:ascii="Calibri" w:eastAsia="Times New Roman" w:hAnsi="Calibri" w:cs="Calibri"/>
              </w:rPr>
            </w:pPr>
            <w:r w:rsidRPr="008544A9">
              <w:rPr>
                <w:rFonts w:ascii="Calibri" w:eastAsia="Times New Roman" w:hAnsi="Calibri" w:cs="Calibri"/>
              </w:rPr>
              <w:t>3</w:t>
            </w:r>
          </w:p>
        </w:tc>
      </w:tr>
    </w:tbl>
    <w:p w14:paraId="4AC08C34" w14:textId="57CF9449" w:rsidR="00F850AE" w:rsidRDefault="00F850AE" w:rsidP="00E732B6">
      <w:pPr>
        <w:tabs>
          <w:tab w:val="left" w:pos="709"/>
        </w:tabs>
        <w:jc w:val="both"/>
        <w:rPr>
          <w:rFonts w:asciiTheme="majorHAnsi" w:hAnsiTheme="majorHAnsi" w:cstheme="majorHAnsi"/>
          <w:bCs/>
          <w:lang w:eastAsia="en-GB"/>
        </w:rPr>
      </w:pPr>
    </w:p>
    <w:p w14:paraId="138E2295" w14:textId="3AB5F03E" w:rsidR="00D4173B" w:rsidRDefault="00814F6B" w:rsidP="00D4173B">
      <w:pPr>
        <w:spacing w:line="276" w:lineRule="auto"/>
        <w:jc w:val="both"/>
        <w:rPr>
          <w:rFonts w:ascii="Calibri" w:eastAsia="Times New Roman" w:hAnsi="Calibri" w:cs="Calibri"/>
          <w:lang w:val="en-US"/>
        </w:rPr>
      </w:pPr>
      <w:r>
        <w:rPr>
          <w:rFonts w:ascii="Calibri" w:eastAsia="Times New Roman" w:hAnsi="Calibri" w:cs="Calibri"/>
          <w:lang w:val="en-US"/>
        </w:rPr>
        <w:t xml:space="preserve">Minimum Technical passing Score is </w:t>
      </w:r>
      <w:r w:rsidR="00785D57">
        <w:rPr>
          <w:rFonts w:ascii="Calibri" w:eastAsia="Times New Roman" w:hAnsi="Calibri" w:cs="Calibri"/>
          <w:lang w:val="en-US"/>
        </w:rPr>
        <w:t>45</w:t>
      </w:r>
      <w:r>
        <w:rPr>
          <w:rFonts w:ascii="Calibri" w:eastAsia="Times New Roman" w:hAnsi="Calibri" w:cs="Calibri"/>
          <w:lang w:val="en-US"/>
        </w:rPr>
        <w:t xml:space="preserve">% </w:t>
      </w:r>
    </w:p>
    <w:p w14:paraId="70CE43A7" w14:textId="3406424C" w:rsidR="00785D57" w:rsidRDefault="00785D57" w:rsidP="00D4173B">
      <w:pPr>
        <w:spacing w:line="276" w:lineRule="auto"/>
        <w:jc w:val="both"/>
        <w:rPr>
          <w:rFonts w:ascii="Calibri" w:eastAsia="Times New Roman" w:hAnsi="Calibri" w:cs="Calibri"/>
          <w:lang w:val="en-US"/>
        </w:rPr>
      </w:pPr>
    </w:p>
    <w:p w14:paraId="6F2A3559" w14:textId="414D8C12" w:rsidR="00785D57" w:rsidRDefault="00785D57" w:rsidP="00D4173B">
      <w:pPr>
        <w:spacing w:line="276" w:lineRule="auto"/>
        <w:jc w:val="both"/>
        <w:rPr>
          <w:rFonts w:ascii="Calibri" w:eastAsia="Times New Roman" w:hAnsi="Calibri" w:cs="Calibri"/>
          <w:lang w:val="en-US"/>
        </w:rPr>
      </w:pPr>
    </w:p>
    <w:p w14:paraId="57036861" w14:textId="38C822E9" w:rsidR="00785D57" w:rsidRDefault="00785D57" w:rsidP="00D4173B">
      <w:pPr>
        <w:spacing w:line="276" w:lineRule="auto"/>
        <w:jc w:val="both"/>
        <w:rPr>
          <w:rFonts w:ascii="Calibri" w:eastAsia="Times New Roman" w:hAnsi="Calibri" w:cs="Calibri"/>
          <w:lang w:val="en-US"/>
        </w:rPr>
      </w:pPr>
    </w:p>
    <w:p w14:paraId="70F01E08" w14:textId="46BD0D7F" w:rsidR="00785D57" w:rsidRDefault="00785D57" w:rsidP="00D4173B">
      <w:pPr>
        <w:spacing w:line="276" w:lineRule="auto"/>
        <w:jc w:val="both"/>
        <w:rPr>
          <w:rFonts w:ascii="Calibri" w:eastAsia="Times New Roman" w:hAnsi="Calibri" w:cs="Calibri"/>
          <w:lang w:val="en-US"/>
        </w:rPr>
      </w:pPr>
    </w:p>
    <w:p w14:paraId="5DBB8CE3" w14:textId="77777777" w:rsidR="00785D57" w:rsidRPr="00D4173B" w:rsidRDefault="00785D57" w:rsidP="00D4173B">
      <w:pPr>
        <w:spacing w:line="276" w:lineRule="auto"/>
        <w:jc w:val="both"/>
        <w:rPr>
          <w:rFonts w:ascii="Calibri" w:eastAsia="Times New Roman" w:hAnsi="Calibri" w:cs="Calibri"/>
          <w:lang w:val="en-US"/>
        </w:rPr>
      </w:pPr>
    </w:p>
    <w:p w14:paraId="2827E23A" w14:textId="4D1175F2" w:rsidR="00E732B6" w:rsidRPr="00BF151A" w:rsidRDefault="00E732B6" w:rsidP="00695D30">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 must not use abnormally high or low rates or prices. If, in MAG’s opinion, the overall tendered amount is abnormally low or high, MAG may exclude the bidder from consideration to undertake the project.</w:t>
      </w:r>
    </w:p>
    <w:p w14:paraId="1D1E9AF2" w14:textId="77777777" w:rsidR="00E732B6" w:rsidRPr="00BF151A" w:rsidRDefault="00E732B6" w:rsidP="00E732B6">
      <w:pPr>
        <w:tabs>
          <w:tab w:val="right" w:pos="7254"/>
        </w:tabs>
        <w:spacing w:before="120" w:after="120"/>
        <w:jc w:val="both"/>
        <w:rPr>
          <w:rFonts w:asciiTheme="majorHAnsi" w:hAnsiTheme="majorHAnsi" w:cstheme="majorHAnsi"/>
        </w:rPr>
      </w:pPr>
      <w:r w:rsidRPr="00BF151A">
        <w:rPr>
          <w:rFonts w:asciiTheme="majorHAnsi" w:hAnsiTheme="majorHAnsi" w:cstheme="majorHAnsi"/>
        </w:rPr>
        <w:t>MAG’s decision on whether a tender is compliant will be final.</w:t>
      </w:r>
    </w:p>
    <w:p w14:paraId="1E199540" w14:textId="567F7325" w:rsidR="00E732B6" w:rsidRPr="00BF151A" w:rsidRDefault="00E732B6" w:rsidP="000C3D92">
      <w:pPr>
        <w:jc w:val="both"/>
        <w:rPr>
          <w:rFonts w:asciiTheme="majorHAnsi" w:hAnsiTheme="majorHAnsi" w:cstheme="majorHAnsi"/>
          <w:b/>
          <w:bCs/>
        </w:rPr>
      </w:pPr>
    </w:p>
    <w:p w14:paraId="2ADDDA82" w14:textId="4143AF69"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1C146893" w14:textId="33ECBF90" w:rsidR="000C3D92" w:rsidRPr="00FF253B" w:rsidRDefault="00FF253B" w:rsidP="00FF253B">
      <w:pPr>
        <w:pStyle w:val="ListParagraph"/>
        <w:numPr>
          <w:ilvl w:val="0"/>
          <w:numId w:val="5"/>
        </w:numPr>
        <w:tabs>
          <w:tab w:val="left" w:pos="709"/>
        </w:tabs>
        <w:jc w:val="both"/>
        <w:rPr>
          <w:rFonts w:asciiTheme="majorHAnsi" w:hAnsiTheme="majorHAnsi" w:cstheme="majorHAnsi"/>
        </w:rPr>
      </w:pPr>
      <w:r w:rsidRPr="00FF253B">
        <w:rPr>
          <w:rFonts w:asciiTheme="majorHAnsi" w:hAnsiTheme="majorHAnsi" w:cstheme="majorHAnsi"/>
        </w:rPr>
        <w:t xml:space="preserve">Within the bids technically and administratively compliant, the evaluation committee awards the </w:t>
      </w:r>
      <w:r w:rsidR="00785D57">
        <w:rPr>
          <w:rFonts w:asciiTheme="majorHAnsi" w:hAnsiTheme="majorHAnsi" w:cstheme="majorHAnsi"/>
        </w:rPr>
        <w:t>contract</w:t>
      </w:r>
      <w:r w:rsidRPr="00FF253B">
        <w:rPr>
          <w:rFonts w:asciiTheme="majorHAnsi" w:hAnsiTheme="majorHAnsi" w:cstheme="majorHAnsi"/>
        </w:rPr>
        <w:t xml:space="preserve"> to the</w:t>
      </w:r>
      <w:r w:rsidR="00785D57">
        <w:rPr>
          <w:rFonts w:asciiTheme="majorHAnsi" w:hAnsiTheme="majorHAnsi" w:cstheme="majorHAnsi"/>
        </w:rPr>
        <w:t xml:space="preserve"> most </w:t>
      </w:r>
      <w:r w:rsidRPr="00FF253B">
        <w:rPr>
          <w:rFonts w:asciiTheme="majorHAnsi" w:hAnsiTheme="majorHAnsi" w:cstheme="majorHAnsi"/>
        </w:rPr>
        <w:t>economically advantageous (offers that may not be the cheapest in money but that have the best quality or service/price ratio)</w:t>
      </w:r>
      <w:r>
        <w:rPr>
          <w:rFonts w:asciiTheme="majorHAnsi" w:hAnsiTheme="majorHAnsi" w:cstheme="majorHAnsi"/>
        </w:rPr>
        <w:t xml:space="preserve"> </w:t>
      </w:r>
      <w:r w:rsidR="000C3D92" w:rsidRPr="00FF253B">
        <w:rPr>
          <w:rFonts w:asciiTheme="majorHAnsi" w:hAnsiTheme="majorHAnsi" w:cstheme="majorHAnsi"/>
        </w:rPr>
        <w:t>in compliance with the principles of transparency and equal treatment for potential contractors.</w:t>
      </w:r>
    </w:p>
    <w:p w14:paraId="55FC7D7B" w14:textId="601C214F"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MAG reserves the right to award the contract to one or more suppliers.</w:t>
      </w:r>
      <w:r w:rsidR="00D87CB4">
        <w:rPr>
          <w:rFonts w:asciiTheme="majorHAnsi" w:hAnsiTheme="majorHAnsi" w:cstheme="majorHAnsi"/>
        </w:rPr>
        <w:t xml:space="preserve"> MAG has the right to negotiate the best and final</w:t>
      </w:r>
      <w:r w:rsidR="001D49F2">
        <w:rPr>
          <w:rFonts w:asciiTheme="majorHAnsi" w:hAnsiTheme="majorHAnsi" w:cstheme="majorHAnsi"/>
        </w:rPr>
        <w:t xml:space="preserve"> offer.</w:t>
      </w:r>
    </w:p>
    <w:p w14:paraId="5F9FA433" w14:textId="0D00D28C" w:rsidR="008C7029" w:rsidRPr="00BF151A" w:rsidRDefault="501E051C" w:rsidP="2900462E">
      <w:pPr>
        <w:pStyle w:val="ListParagraph"/>
        <w:numPr>
          <w:ilvl w:val="0"/>
          <w:numId w:val="5"/>
        </w:numPr>
        <w:tabs>
          <w:tab w:val="right" w:pos="7254"/>
        </w:tabs>
        <w:spacing w:before="120" w:after="120"/>
        <w:jc w:val="both"/>
        <w:rPr>
          <w:rFonts w:asciiTheme="majorHAnsi" w:hAnsiTheme="majorHAnsi" w:cstheme="majorBidi"/>
        </w:rPr>
      </w:pPr>
      <w:r w:rsidRPr="2900462E">
        <w:rPr>
          <w:rFonts w:asciiTheme="majorHAnsi" w:hAnsiTheme="majorHAnsi" w:cstheme="majorBidi"/>
        </w:rPr>
        <w:t xml:space="preserve">Supplier Vetting: MAG will evaluate the suppliers following the MAG </w:t>
      </w:r>
      <w:r w:rsidR="00D87CB4">
        <w:rPr>
          <w:rFonts w:asciiTheme="majorHAnsi" w:hAnsiTheme="majorHAnsi" w:cstheme="majorBidi"/>
        </w:rPr>
        <w:t>v</w:t>
      </w:r>
      <w:r w:rsidRPr="2900462E">
        <w:rPr>
          <w:rFonts w:asciiTheme="majorHAnsi" w:hAnsiTheme="majorHAnsi" w:cstheme="majorBidi"/>
        </w:rPr>
        <w:t xml:space="preserve">etting </w:t>
      </w:r>
      <w:r w:rsidR="00D87CB4">
        <w:rPr>
          <w:rFonts w:asciiTheme="majorHAnsi" w:hAnsiTheme="majorHAnsi" w:cstheme="majorBidi"/>
        </w:rPr>
        <w:t>s</w:t>
      </w:r>
      <w:r w:rsidRPr="2900462E">
        <w:rPr>
          <w:rFonts w:asciiTheme="majorHAnsi" w:hAnsiTheme="majorHAnsi" w:cstheme="majorBidi"/>
        </w:rPr>
        <w:t xml:space="preserve">ystem. Suppliers that </w:t>
      </w:r>
      <w:r w:rsidR="791D1A85" w:rsidRPr="2900462E">
        <w:rPr>
          <w:rFonts w:asciiTheme="majorHAnsi" w:hAnsiTheme="majorHAnsi" w:cstheme="majorBidi"/>
        </w:rPr>
        <w:t>do</w:t>
      </w:r>
      <w:r w:rsidRPr="2900462E">
        <w:rPr>
          <w:rFonts w:asciiTheme="majorHAnsi" w:hAnsiTheme="majorHAnsi" w:cstheme="majorBidi"/>
        </w:rPr>
        <w:t xml:space="preserve"> not meet the vetting requirements will be disqualified.</w:t>
      </w:r>
    </w:p>
    <w:p w14:paraId="0A6B1332" w14:textId="5F8547C3" w:rsidR="008C7029" w:rsidRDefault="501E051C" w:rsidP="4D6C1F9F">
      <w:pPr>
        <w:pStyle w:val="ListParagraph"/>
        <w:numPr>
          <w:ilvl w:val="0"/>
          <w:numId w:val="5"/>
        </w:numPr>
        <w:tabs>
          <w:tab w:val="right" w:pos="7254"/>
        </w:tabs>
        <w:spacing w:before="120" w:after="120"/>
        <w:jc w:val="both"/>
        <w:rPr>
          <w:rFonts w:asciiTheme="majorHAnsi" w:hAnsiTheme="majorHAnsi" w:cstheme="majorBidi"/>
        </w:rPr>
      </w:pPr>
      <w:r w:rsidRPr="446E11E6">
        <w:rPr>
          <w:rFonts w:asciiTheme="majorHAnsi" w:hAnsiTheme="majorHAnsi" w:cstheme="majorBidi"/>
        </w:rPr>
        <w:t xml:space="preserve">Failure to deliver: This </w:t>
      </w:r>
      <w:r w:rsidR="00D87CB4" w:rsidRPr="446E11E6">
        <w:rPr>
          <w:rFonts w:asciiTheme="majorHAnsi" w:hAnsiTheme="majorHAnsi" w:cstheme="majorBidi"/>
        </w:rPr>
        <w:t>t</w:t>
      </w:r>
      <w:r w:rsidRPr="446E11E6">
        <w:rPr>
          <w:rFonts w:asciiTheme="majorHAnsi" w:hAnsiTheme="majorHAnsi" w:cstheme="majorBidi"/>
        </w:rPr>
        <w:t xml:space="preserve">ender will not constitute an exclusive contract and in the event that the supplier cannot meet the specification then another supplier shall be sought by MAG for that </w:t>
      </w:r>
      <w:bookmarkStart w:id="2" w:name="_Int_p3IXeWLs"/>
      <w:r w:rsidRPr="446E11E6">
        <w:rPr>
          <w:rFonts w:asciiTheme="majorHAnsi" w:hAnsiTheme="majorHAnsi" w:cstheme="majorBidi"/>
        </w:rPr>
        <w:t>particular purchase</w:t>
      </w:r>
      <w:bookmarkEnd w:id="2"/>
      <w:r w:rsidRPr="446E11E6">
        <w:rPr>
          <w:rFonts w:asciiTheme="majorHAnsi" w:hAnsiTheme="majorHAnsi" w:cstheme="majorBidi"/>
        </w:rPr>
        <w:t>.</w:t>
      </w:r>
    </w:p>
    <w:p w14:paraId="171EFC54" w14:textId="2D0DF488" w:rsidR="00FA2F46" w:rsidRPr="00FA2F46" w:rsidRDefault="00FA2F46" w:rsidP="00FA2F46">
      <w:pPr>
        <w:pStyle w:val="ListParagraph"/>
        <w:numPr>
          <w:ilvl w:val="0"/>
          <w:numId w:val="5"/>
        </w:numPr>
        <w:spacing w:line="276" w:lineRule="auto"/>
        <w:rPr>
          <w:rFonts w:ascii="Calibri" w:eastAsia="Times New Roman" w:hAnsi="Calibri" w:cs="Calibri"/>
          <w:lang w:val="en-US"/>
        </w:rPr>
      </w:pPr>
      <w:r w:rsidRPr="00FA2F46">
        <w:rPr>
          <w:rFonts w:ascii="Calibri" w:eastAsia="Times New Roman" w:hAnsi="Calibri" w:cs="Calibri"/>
          <w:lang w:val="en-US"/>
        </w:rPr>
        <w:t xml:space="preserve">Only hotels should apply to this tender. Third parity bids are not acceptable. Only hotels from Erbil are eligible to apply for this tender. </w:t>
      </w:r>
    </w:p>
    <w:p w14:paraId="4B6C9574" w14:textId="0A94A7B8" w:rsidR="007829CE" w:rsidRDefault="008C7029" w:rsidP="007829CE">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Termination: MAG has the right to terminate agreements arising from this call for tenders at any time.</w:t>
      </w:r>
    </w:p>
    <w:p w14:paraId="03F30362" w14:textId="77777777" w:rsidR="005F1EE9" w:rsidRPr="00D4173B" w:rsidRDefault="005F1EE9" w:rsidP="00D4173B">
      <w:pPr>
        <w:tabs>
          <w:tab w:val="right" w:pos="7254"/>
        </w:tabs>
        <w:spacing w:before="120" w:after="120"/>
        <w:jc w:val="both"/>
        <w:rPr>
          <w:rFonts w:asciiTheme="majorHAnsi" w:hAnsiTheme="majorHAnsi" w:cstheme="majorHAnsi"/>
        </w:rPr>
      </w:pP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4"/>
      <w:footerReference w:type="default" r:id="rId15"/>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C381" w14:textId="77777777" w:rsidR="00785D57" w:rsidRDefault="00785D57" w:rsidP="00C9105C">
      <w:r>
        <w:separator/>
      </w:r>
    </w:p>
  </w:endnote>
  <w:endnote w:type="continuationSeparator" w:id="0">
    <w:p w14:paraId="65813797" w14:textId="77777777" w:rsidR="00785D57" w:rsidRDefault="00785D57" w:rsidP="00C9105C">
      <w:r>
        <w:continuationSeparator/>
      </w:r>
    </w:p>
  </w:endnote>
  <w:endnote w:type="continuationNotice" w:id="1">
    <w:p w14:paraId="75FAD816" w14:textId="77777777" w:rsidR="003E6034" w:rsidRDefault="003E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785D57" w:rsidRPr="00796EB3" w:rsidRDefault="00785D57"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0FFD" w14:textId="77777777" w:rsidR="00785D57" w:rsidRDefault="00785D57" w:rsidP="00C9105C">
      <w:r>
        <w:separator/>
      </w:r>
    </w:p>
  </w:footnote>
  <w:footnote w:type="continuationSeparator" w:id="0">
    <w:p w14:paraId="5D86B8EE" w14:textId="77777777" w:rsidR="00785D57" w:rsidRDefault="00785D57" w:rsidP="00C9105C">
      <w:r>
        <w:continuationSeparator/>
      </w:r>
    </w:p>
  </w:footnote>
  <w:footnote w:type="continuationNotice" w:id="1">
    <w:p w14:paraId="6B155E32" w14:textId="77777777" w:rsidR="003E6034" w:rsidRDefault="003E6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785D57" w:rsidRPr="00110EB7" w:rsidRDefault="00785D57"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785D57" w:rsidRPr="005B6854" w:rsidRDefault="00785D57"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5FF328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55pt,11.4pt" to="480.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strokecolor="#bc4542 [3045]" strokeweight=".5pt"/>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8"/>
  </w:num>
  <w:num w:numId="5">
    <w:abstractNumId w:val="7"/>
  </w:num>
  <w:num w:numId="6">
    <w:abstractNumId w:val="10"/>
  </w:num>
  <w:num w:numId="7">
    <w:abstractNumId w:val="3"/>
  </w:num>
  <w:num w:numId="8">
    <w:abstractNumId w:val="0"/>
  </w:num>
  <w:num w:numId="9">
    <w:abstractNumId w:val="9"/>
  </w:num>
  <w:num w:numId="10">
    <w:abstractNumId w:val="1"/>
  </w:num>
  <w:num w:numId="11">
    <w:abstractNumId w:val="11"/>
  </w:num>
  <w:num w:numId="12">
    <w:abstractNumId w:val="5"/>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4886"/>
    <w:rsid w:val="001612AF"/>
    <w:rsid w:val="00170603"/>
    <w:rsid w:val="001823AA"/>
    <w:rsid w:val="0018284C"/>
    <w:rsid w:val="00185ECB"/>
    <w:rsid w:val="001A0E47"/>
    <w:rsid w:val="001A5600"/>
    <w:rsid w:val="001A7219"/>
    <w:rsid w:val="001B1121"/>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80764"/>
    <w:rsid w:val="00384FB4"/>
    <w:rsid w:val="00391019"/>
    <w:rsid w:val="003A0A36"/>
    <w:rsid w:val="003A35BF"/>
    <w:rsid w:val="003A5747"/>
    <w:rsid w:val="003B6567"/>
    <w:rsid w:val="003B6C05"/>
    <w:rsid w:val="003B7920"/>
    <w:rsid w:val="003C7B4D"/>
    <w:rsid w:val="003D196F"/>
    <w:rsid w:val="003D3064"/>
    <w:rsid w:val="003D423C"/>
    <w:rsid w:val="003E2C06"/>
    <w:rsid w:val="003E6034"/>
    <w:rsid w:val="003E604D"/>
    <w:rsid w:val="003E6C90"/>
    <w:rsid w:val="003F2361"/>
    <w:rsid w:val="003F4F8F"/>
    <w:rsid w:val="003F645C"/>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62A42"/>
    <w:rsid w:val="004658F5"/>
    <w:rsid w:val="00466437"/>
    <w:rsid w:val="00470423"/>
    <w:rsid w:val="00471708"/>
    <w:rsid w:val="00475A0E"/>
    <w:rsid w:val="00476D3E"/>
    <w:rsid w:val="00483545"/>
    <w:rsid w:val="00493DE0"/>
    <w:rsid w:val="00494876"/>
    <w:rsid w:val="00497918"/>
    <w:rsid w:val="00497A25"/>
    <w:rsid w:val="004A4BB3"/>
    <w:rsid w:val="004B258D"/>
    <w:rsid w:val="004C5288"/>
    <w:rsid w:val="004C5FD3"/>
    <w:rsid w:val="004D7FD9"/>
    <w:rsid w:val="004E2C40"/>
    <w:rsid w:val="004E3EEF"/>
    <w:rsid w:val="004E4CDB"/>
    <w:rsid w:val="004F669D"/>
    <w:rsid w:val="004F73B4"/>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21840"/>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5D57"/>
    <w:rsid w:val="00787CDF"/>
    <w:rsid w:val="007920DC"/>
    <w:rsid w:val="0079675F"/>
    <w:rsid w:val="00796EB3"/>
    <w:rsid w:val="007A3BFD"/>
    <w:rsid w:val="007A4868"/>
    <w:rsid w:val="007C08F2"/>
    <w:rsid w:val="007C10A0"/>
    <w:rsid w:val="007C2ECF"/>
    <w:rsid w:val="007C47AB"/>
    <w:rsid w:val="007D783D"/>
    <w:rsid w:val="007E6249"/>
    <w:rsid w:val="007E7A1F"/>
    <w:rsid w:val="007E7E6B"/>
    <w:rsid w:val="007F480E"/>
    <w:rsid w:val="00800295"/>
    <w:rsid w:val="00804077"/>
    <w:rsid w:val="00812899"/>
    <w:rsid w:val="00814F6B"/>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C6B27"/>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90A1D"/>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39DA"/>
    <w:rsid w:val="00CE454F"/>
    <w:rsid w:val="00CE4A70"/>
    <w:rsid w:val="00CF2C4D"/>
    <w:rsid w:val="00CF45E0"/>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B1B36"/>
    <w:rsid w:val="00EB3E83"/>
    <w:rsid w:val="00EC4243"/>
    <w:rsid w:val="00EC7CAD"/>
    <w:rsid w:val="00EE300B"/>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2F46"/>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table" w:customStyle="1" w:styleId="TableGrid1">
    <w:name w:val="Table Grid1"/>
    <w:basedOn w:val="TableNormal"/>
    <w:next w:val="TableGrid"/>
    <w:uiPriority w:val="39"/>
    <w:rsid w:val="00785D57"/>
    <w:rPr>
      <w:rFonts w:ascii="Times" w:eastAsia="Times" w:hAnsi="Times"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aq-businessnews.com/tenders/" TargetMode="Externa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ciraq.org/en/opportunities/for-individuals/bids-ten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http://www.w3.org/XML/1998/namespace"/>
    <ds:schemaRef ds:uri="http://schemas.openxmlformats.org/package/2006/metadata/core-properties"/>
    <ds:schemaRef ds:uri="http://schemas.microsoft.com/office/2006/documentManagement/types"/>
    <ds:schemaRef ds:uri="90e8e516-0638-494f-b44c-ab4314fdf46e"/>
    <ds:schemaRef ds:uri="http://purl.org/dc/elements/1.1/"/>
    <ds:schemaRef ds:uri="http://schemas.microsoft.com/office/2006/metadata/properties"/>
    <ds:schemaRef ds:uri="http://schemas.microsoft.com/office/infopath/2007/PartnerControls"/>
    <ds:schemaRef ds:uri="0cacdc7d-150a-4520-9789-422d3a1f1ab5"/>
    <ds:schemaRef ds:uri="http://purl.org/dc/dcmitype/"/>
    <ds:schemaRef ds:uri="http://purl.org/dc/terms/"/>
  </ds:schemaRefs>
</ds:datastoreItem>
</file>

<file path=customXml/itemProps3.xml><?xml version="1.0" encoding="utf-8"?>
<ds:datastoreItem xmlns:ds="http://schemas.openxmlformats.org/officeDocument/2006/customXml" ds:itemID="{76F6777E-42F9-4CB9-A248-E25F53DA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3159A-27F0-4ECC-8CCA-00F6940F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2024-01-22T08:56:00Z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0x010100E382F537E4EE234E97C5A85326B16F1E</vt:lpwstr>
  </property>
  <property fmtid="{D5CDD505-2E9C-101B-9397-08002B2CF9AE}" pid="3" name="AuthorIds_UIVersion_1024">
    <vt:lpwstr>40</vt:lpwstr>
  </property>
  <property fmtid="{D5CDD505-2E9C-101B-9397-08002B2CF9AE}" pid="4" name="MediaServiceImageTags">
    <vt:lpwstr/>
  </property>
</Properties>
</file>