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37BA5" w14:textId="58ACB79A" w:rsidR="008A6287" w:rsidRDefault="006A5A2E">
      <w:r>
        <w:t>Technical requirements for market search for Internet Service provision in Baghdad.</w:t>
      </w:r>
    </w:p>
    <w:p w14:paraId="1D2AEA2D" w14:textId="5F6A0B1B" w:rsidR="006A5A2E" w:rsidRDefault="003660B3">
      <w:r>
        <w:t>TERMS AND ABBREVIATIONS</w:t>
      </w:r>
    </w:p>
    <w:tbl>
      <w:tblPr>
        <w:tblStyle w:val="TableGrid4"/>
        <w:tblW w:w="9625" w:type="dxa"/>
        <w:tblLook w:val="04A0" w:firstRow="1" w:lastRow="0" w:firstColumn="1" w:lastColumn="0" w:noHBand="0" w:noVBand="1"/>
      </w:tblPr>
      <w:tblGrid>
        <w:gridCol w:w="1856"/>
        <w:gridCol w:w="7769"/>
      </w:tblGrid>
      <w:tr w:rsidR="003660B3" w:rsidRPr="003A4D3A" w14:paraId="755F6938" w14:textId="77777777" w:rsidTr="00B9128D">
        <w:trPr>
          <w:trHeight w:val="311"/>
        </w:trPr>
        <w:tc>
          <w:tcPr>
            <w:tcW w:w="1856" w:type="dxa"/>
          </w:tcPr>
          <w:p w14:paraId="31CE8430" w14:textId="30BB5F39" w:rsidR="003660B3" w:rsidRPr="003A4D3A" w:rsidRDefault="003660B3" w:rsidP="003660B3">
            <w:pPr>
              <w:numPr>
                <w:ilvl w:val="0"/>
                <w:numId w:val="1"/>
              </w:numPr>
              <w:spacing w:line="276" w:lineRule="auto"/>
              <w:ind w:left="0"/>
              <w:rPr>
                <w:rFonts w:eastAsia="Times New Roman" w:cs="Times New Roman"/>
                <w:b/>
                <w:lang w:eastAsia="ru-RU"/>
              </w:rPr>
            </w:pPr>
            <w:r w:rsidRPr="003A4D3A">
              <w:rPr>
                <w:rFonts w:eastAsia="Times New Roman" w:cs="Times New Roman"/>
                <w:b/>
                <w:bCs/>
                <w:lang w:val="en-US" w:eastAsia="ru-RU"/>
              </w:rPr>
              <w:t>ISP</w:t>
            </w:r>
          </w:p>
        </w:tc>
        <w:tc>
          <w:tcPr>
            <w:tcW w:w="7769" w:type="dxa"/>
          </w:tcPr>
          <w:p w14:paraId="5AB1E307" w14:textId="1F40CE4C" w:rsidR="003660B3" w:rsidRPr="003A4D3A" w:rsidRDefault="003660B3" w:rsidP="003660B3">
            <w:pPr>
              <w:numPr>
                <w:ilvl w:val="0"/>
                <w:numId w:val="1"/>
              </w:numPr>
              <w:spacing w:line="276" w:lineRule="auto"/>
              <w:ind w:left="0"/>
              <w:jc w:val="both"/>
              <w:rPr>
                <w:rFonts w:eastAsia="Times New Roman" w:cs="Times New Roman"/>
                <w:lang w:eastAsia="ru-RU"/>
              </w:rPr>
            </w:pPr>
            <w:r w:rsidRPr="003A4D3A">
              <w:rPr>
                <w:rFonts w:eastAsia="Times New Roman" w:cs="Times New Roman"/>
                <w:bCs/>
                <w:lang w:val="en-US" w:eastAsia="ru-RU"/>
              </w:rPr>
              <w:t>Internet Service Provider</w:t>
            </w:r>
            <w:r>
              <w:rPr>
                <w:rFonts w:eastAsia="Times New Roman" w:cs="Times New Roman"/>
                <w:bCs/>
                <w:lang w:val="en-US" w:eastAsia="ru-RU"/>
              </w:rPr>
              <w:t>.</w:t>
            </w:r>
          </w:p>
        </w:tc>
      </w:tr>
      <w:tr w:rsidR="0066479E" w:rsidRPr="003A4D3A" w14:paraId="154A3D7D" w14:textId="77777777" w:rsidTr="0066479E">
        <w:trPr>
          <w:trHeight w:val="311"/>
        </w:trPr>
        <w:tc>
          <w:tcPr>
            <w:tcW w:w="1856" w:type="dxa"/>
          </w:tcPr>
          <w:p w14:paraId="0DC7E317" w14:textId="77777777" w:rsidR="0066479E" w:rsidRPr="003A4D3A" w:rsidRDefault="0066479E" w:rsidP="0066479E">
            <w:pPr>
              <w:numPr>
                <w:ilvl w:val="0"/>
                <w:numId w:val="1"/>
              </w:numPr>
              <w:spacing w:line="276" w:lineRule="auto"/>
              <w:ind w:left="0"/>
              <w:rPr>
                <w:rFonts w:eastAsia="Times New Roman" w:cs="Times New Roman"/>
                <w:b/>
                <w:lang w:val="en-US" w:eastAsia="ru-RU"/>
              </w:rPr>
            </w:pPr>
            <w:r w:rsidRPr="003A4D3A">
              <w:rPr>
                <w:rFonts w:eastAsia="Times New Roman" w:cs="Times New Roman"/>
                <w:b/>
                <w:lang w:val="en-US" w:eastAsia="ru-RU"/>
              </w:rPr>
              <w:t>MW</w:t>
            </w:r>
          </w:p>
        </w:tc>
        <w:tc>
          <w:tcPr>
            <w:tcW w:w="7769" w:type="dxa"/>
          </w:tcPr>
          <w:p w14:paraId="485F90FE" w14:textId="77777777" w:rsidR="0066479E" w:rsidRPr="003A4D3A" w:rsidRDefault="0066479E" w:rsidP="0066479E">
            <w:pPr>
              <w:numPr>
                <w:ilvl w:val="0"/>
                <w:numId w:val="1"/>
              </w:numPr>
              <w:spacing w:line="276" w:lineRule="auto"/>
              <w:ind w:left="0"/>
              <w:jc w:val="both"/>
              <w:rPr>
                <w:rFonts w:eastAsia="Times New Roman" w:cs="Times New Roman"/>
                <w:lang w:val="en-US" w:eastAsia="ru-RU"/>
              </w:rPr>
            </w:pPr>
            <w:r w:rsidRPr="003A4D3A">
              <w:rPr>
                <w:rFonts w:eastAsia="Times New Roman" w:cs="Times New Roman"/>
                <w:lang w:val="en-US" w:eastAsia="ru-RU"/>
              </w:rPr>
              <w:t>Microwave</w:t>
            </w:r>
          </w:p>
        </w:tc>
      </w:tr>
      <w:tr w:rsidR="0066479E" w:rsidRPr="003A4D3A" w14:paraId="1CF1AE70" w14:textId="77777777" w:rsidTr="0066479E">
        <w:trPr>
          <w:trHeight w:val="624"/>
        </w:trPr>
        <w:tc>
          <w:tcPr>
            <w:tcW w:w="1856" w:type="dxa"/>
          </w:tcPr>
          <w:p w14:paraId="1F394CBE" w14:textId="77777777" w:rsidR="0066479E" w:rsidRPr="003A4D3A" w:rsidRDefault="0066479E" w:rsidP="0066479E">
            <w:pPr>
              <w:numPr>
                <w:ilvl w:val="0"/>
                <w:numId w:val="1"/>
              </w:numPr>
              <w:spacing w:line="276" w:lineRule="auto"/>
              <w:ind w:left="0"/>
              <w:rPr>
                <w:rFonts w:eastAsia="Calibri" w:cs="Times New Roman"/>
                <w:b/>
                <w:lang w:val="en-US" w:eastAsia="ru-RU"/>
              </w:rPr>
            </w:pPr>
            <w:r w:rsidRPr="003A4D3A">
              <w:rPr>
                <w:rFonts w:eastAsia="Calibri" w:cs="Times New Roman"/>
                <w:b/>
                <w:lang w:val="en-US" w:eastAsia="ru-RU"/>
              </w:rPr>
              <w:t>PI Address Block</w:t>
            </w:r>
          </w:p>
        </w:tc>
        <w:tc>
          <w:tcPr>
            <w:tcW w:w="7769" w:type="dxa"/>
          </w:tcPr>
          <w:p w14:paraId="7441D768" w14:textId="77777777" w:rsidR="0066479E" w:rsidRPr="003A4D3A" w:rsidRDefault="0066479E" w:rsidP="00B9128D">
            <w:pPr>
              <w:spacing w:line="276" w:lineRule="auto"/>
              <w:rPr>
                <w:rFonts w:eastAsia="Calibri" w:cs="Times New Roman"/>
                <w:lang w:val="en-US" w:eastAsia="ru-RU"/>
              </w:rPr>
            </w:pPr>
            <w:r>
              <w:rPr>
                <w:rFonts w:eastAsia="Calibri" w:cs="Times New Roman"/>
                <w:lang w:val="en-US" w:eastAsia="ru-RU"/>
              </w:rPr>
              <w:t>A</w:t>
            </w:r>
            <w:r w:rsidRPr="003A4D3A">
              <w:rPr>
                <w:rFonts w:eastAsia="Calibri" w:cs="Times New Roman"/>
                <w:lang w:val="en-US" w:eastAsia="ru-RU"/>
              </w:rPr>
              <w:t xml:space="preserve"> provider-independent address space (PI) is a block of IP addresses assigned directly to an end-user organization.</w:t>
            </w:r>
          </w:p>
        </w:tc>
      </w:tr>
      <w:tr w:rsidR="003660B3" w:rsidRPr="003A4D3A" w14:paraId="14ED67B6" w14:textId="77777777" w:rsidTr="0066479E">
        <w:trPr>
          <w:trHeight w:val="624"/>
        </w:trPr>
        <w:tc>
          <w:tcPr>
            <w:tcW w:w="1856" w:type="dxa"/>
          </w:tcPr>
          <w:p w14:paraId="050ECE61" w14:textId="52DDC812" w:rsidR="003660B3" w:rsidRPr="003A4D3A" w:rsidRDefault="003660B3" w:rsidP="003660B3">
            <w:pPr>
              <w:numPr>
                <w:ilvl w:val="0"/>
                <w:numId w:val="1"/>
              </w:numPr>
              <w:spacing w:line="276" w:lineRule="auto"/>
              <w:ind w:left="0"/>
              <w:rPr>
                <w:rFonts w:eastAsia="Calibri" w:cs="Times New Roman"/>
                <w:b/>
                <w:lang w:eastAsia="ru-RU"/>
              </w:rPr>
            </w:pPr>
            <w:proofErr w:type="spellStart"/>
            <w:r w:rsidRPr="003A4D3A">
              <w:rPr>
                <w:rFonts w:eastAsia="Times New Roman" w:cs="Times New Roman"/>
                <w:b/>
                <w:bCs/>
                <w:lang w:val="en-US" w:eastAsia="ru-RU"/>
              </w:rPr>
              <w:t>PoP</w:t>
            </w:r>
            <w:proofErr w:type="spellEnd"/>
          </w:p>
        </w:tc>
        <w:tc>
          <w:tcPr>
            <w:tcW w:w="7769" w:type="dxa"/>
          </w:tcPr>
          <w:p w14:paraId="2410006F" w14:textId="21513B20" w:rsidR="003660B3" w:rsidRPr="003660B3" w:rsidRDefault="003660B3" w:rsidP="003660B3">
            <w:pPr>
              <w:spacing w:line="276" w:lineRule="auto"/>
              <w:rPr>
                <w:rFonts w:eastAsia="Calibri" w:cs="Times New Roman"/>
                <w:lang w:val="en-US" w:eastAsia="ru-RU"/>
              </w:rPr>
            </w:pPr>
            <w:r w:rsidRPr="003A4D3A">
              <w:rPr>
                <w:rFonts w:eastAsia="Times New Roman" w:cs="Times New Roman"/>
                <w:bCs/>
                <w:lang w:val="en-US" w:eastAsia="ru-RU"/>
              </w:rPr>
              <w:t>Point of Presence</w:t>
            </w:r>
            <w:r w:rsidRPr="003A4D3A">
              <w:rPr>
                <w:rFonts w:eastAsia="Times New Roman" w:cs="Times New Roman"/>
                <w:lang w:val="en-US" w:eastAsia="ru-RU"/>
              </w:rPr>
              <w:t xml:space="preserve">. Point of Presence is a point of access to the Internet. It is a physical location that houses </w:t>
            </w:r>
            <w:hyperlink r:id="rId7" w:tooltip="Server (computing)" w:history="1">
              <w:r w:rsidRPr="003A4D3A">
                <w:rPr>
                  <w:rFonts w:eastAsia="Times New Roman" w:cs="Times New Roman"/>
                  <w:lang w:val="en-US" w:eastAsia="ru-RU"/>
                </w:rPr>
                <w:t>servers</w:t>
              </w:r>
            </w:hyperlink>
            <w:r w:rsidRPr="003A4D3A">
              <w:rPr>
                <w:rFonts w:eastAsia="Times New Roman" w:cs="Times New Roman"/>
                <w:lang w:val="en-US" w:eastAsia="ru-RU"/>
              </w:rPr>
              <w:t xml:space="preserve">, </w:t>
            </w:r>
            <w:hyperlink r:id="rId8" w:tooltip="Router (computing)" w:history="1">
              <w:r w:rsidRPr="003A4D3A">
                <w:rPr>
                  <w:rFonts w:eastAsia="Times New Roman" w:cs="Times New Roman"/>
                  <w:lang w:val="en-US" w:eastAsia="ru-RU"/>
                </w:rPr>
                <w:t>routers</w:t>
              </w:r>
            </w:hyperlink>
            <w:r w:rsidRPr="003A4D3A">
              <w:rPr>
                <w:rFonts w:eastAsia="Times New Roman" w:cs="Times New Roman"/>
                <w:lang w:val="en-US" w:eastAsia="ru-RU"/>
              </w:rPr>
              <w:t xml:space="preserve">, switches and other auxiliary equipment. It may be the property of an ISP or the part of facilities that an ISP rents from other </w:t>
            </w:r>
            <w:hyperlink r:id="rId9" w:tooltip="Telecommunications provider" w:history="1">
              <w:r w:rsidRPr="003A4D3A">
                <w:rPr>
                  <w:rFonts w:eastAsia="Times New Roman" w:cs="Times New Roman"/>
                  <w:lang w:val="en-US" w:eastAsia="ru-RU"/>
                </w:rPr>
                <w:t>telecommunications provider</w:t>
              </w:r>
            </w:hyperlink>
            <w:r w:rsidRPr="003A4D3A">
              <w:rPr>
                <w:rFonts w:eastAsia="Times New Roman" w:cs="Times New Roman"/>
                <w:lang w:val="en-US" w:eastAsia="ru-RU"/>
              </w:rPr>
              <w:t>.</w:t>
            </w:r>
            <w:r w:rsidRPr="003660B3">
              <w:rPr>
                <w:rFonts w:eastAsia="Times New Roman" w:cs="Times New Roman"/>
                <w:lang w:val="en-US" w:eastAsia="ru-RU"/>
              </w:rPr>
              <w:t xml:space="preserve"> Point of Presence shall have at least 2 (two) uplinks provided by the backbone providers, it can't be exclusively used by single ISP and should be available on a commercial basis to any ISP. Selection of every particular Point of Presence is a subject to approval from the Company.</w:t>
            </w:r>
            <w:r w:rsidRPr="003A4D3A">
              <w:rPr>
                <w:rFonts w:eastAsia="Times New Roman" w:cs="Times New Roman"/>
                <w:lang w:val="en-US" w:eastAsia="ru-RU"/>
              </w:rPr>
              <w:t xml:space="preserve"> Company shall be able to conduct inspection of </w:t>
            </w:r>
            <w:proofErr w:type="spellStart"/>
            <w:r w:rsidRPr="003A4D3A">
              <w:rPr>
                <w:rFonts w:eastAsia="Times New Roman" w:cs="Times New Roman"/>
                <w:lang w:val="en-US" w:eastAsia="ru-RU"/>
              </w:rPr>
              <w:t>PoP</w:t>
            </w:r>
            <w:proofErr w:type="spellEnd"/>
            <w:r w:rsidRPr="003A4D3A">
              <w:rPr>
                <w:rFonts w:eastAsia="Times New Roman" w:cs="Times New Roman"/>
                <w:lang w:val="en-US" w:eastAsia="ru-RU"/>
              </w:rPr>
              <w:t xml:space="preserve"> at any time.</w:t>
            </w:r>
          </w:p>
        </w:tc>
      </w:tr>
      <w:tr w:rsidR="0066479E" w:rsidRPr="003A4D3A" w14:paraId="6721D8B8" w14:textId="77777777" w:rsidTr="0066479E">
        <w:trPr>
          <w:trHeight w:val="949"/>
        </w:trPr>
        <w:tc>
          <w:tcPr>
            <w:tcW w:w="1856" w:type="dxa"/>
          </w:tcPr>
          <w:p w14:paraId="5EC5F9A5" w14:textId="77777777" w:rsidR="0066479E" w:rsidRPr="003A4D3A" w:rsidRDefault="0066479E" w:rsidP="0066479E">
            <w:pPr>
              <w:numPr>
                <w:ilvl w:val="0"/>
                <w:numId w:val="1"/>
              </w:numPr>
              <w:spacing w:line="276" w:lineRule="auto"/>
              <w:ind w:left="0"/>
              <w:rPr>
                <w:rFonts w:eastAsia="Times New Roman" w:cs="Times New Roman"/>
                <w:b/>
                <w:bCs/>
                <w:lang w:val="en-US" w:eastAsia="ru-RU"/>
              </w:rPr>
            </w:pPr>
            <w:r w:rsidRPr="003A4D3A">
              <w:rPr>
                <w:rFonts w:eastAsia="Times New Roman" w:cs="Times New Roman"/>
                <w:b/>
                <w:lang w:eastAsia="ru-RU"/>
              </w:rPr>
              <w:t>SLA</w:t>
            </w:r>
          </w:p>
        </w:tc>
        <w:tc>
          <w:tcPr>
            <w:tcW w:w="7769" w:type="dxa"/>
          </w:tcPr>
          <w:p w14:paraId="6C07179D" w14:textId="799DDC5E" w:rsidR="0066479E" w:rsidRPr="003A4D3A" w:rsidRDefault="0066479E" w:rsidP="0066479E">
            <w:pPr>
              <w:numPr>
                <w:ilvl w:val="0"/>
                <w:numId w:val="1"/>
              </w:numPr>
              <w:spacing w:line="276" w:lineRule="auto"/>
              <w:ind w:left="0"/>
              <w:jc w:val="both"/>
              <w:rPr>
                <w:rFonts w:eastAsia="Times New Roman" w:cs="Times New Roman"/>
                <w:bCs/>
                <w:lang w:val="en-US" w:eastAsia="ru-RU"/>
              </w:rPr>
            </w:pPr>
            <w:r w:rsidRPr="00F73779">
              <w:rPr>
                <w:lang w:val="en-US"/>
              </w:rPr>
              <w:t>Service Level Agreement. SLA is</w:t>
            </w:r>
            <w:r w:rsidRPr="003A4D3A">
              <w:rPr>
                <w:rFonts w:eastAsia="Times New Roman" w:cs="Times New Roman"/>
                <w:lang w:val="en-US" w:eastAsia="ru-RU"/>
              </w:rPr>
              <w:t xml:space="preserve"> an</w:t>
            </w:r>
            <w:r w:rsidRPr="00F73779">
              <w:rPr>
                <w:lang w:val="en-US"/>
              </w:rPr>
              <w:t xml:space="preserve"> official commitment that prevails between the Contractor as the Service provider and the Company as the Service user. Within the SLA the particular aspects of the Service – quality, availability, responsibilities – are agreed between the Service provider and the Service user.</w:t>
            </w:r>
          </w:p>
        </w:tc>
      </w:tr>
    </w:tbl>
    <w:p w14:paraId="22FEE8DD" w14:textId="77777777" w:rsidR="0066479E" w:rsidRPr="00910D01" w:rsidRDefault="0066479E" w:rsidP="00910D01">
      <w:pPr>
        <w:pStyle w:val="Heading31"/>
        <w:numPr>
          <w:ilvl w:val="0"/>
          <w:numId w:val="0"/>
        </w:numPr>
        <w:rPr>
          <w:sz w:val="22"/>
        </w:rPr>
      </w:pPr>
    </w:p>
    <w:p w14:paraId="5A6FD71C" w14:textId="3641EDBE" w:rsidR="0066479E" w:rsidRPr="00910D01" w:rsidRDefault="0066479E" w:rsidP="00FC14B2">
      <w:pPr>
        <w:pStyle w:val="Heading31"/>
        <w:numPr>
          <w:ilvl w:val="0"/>
          <w:numId w:val="5"/>
        </w:numPr>
        <w:rPr>
          <w:sz w:val="22"/>
        </w:rPr>
      </w:pPr>
      <w:r w:rsidRPr="00910D01">
        <w:rPr>
          <w:sz w:val="22"/>
        </w:rPr>
        <w:t>List of services to be provided and quoted:</w:t>
      </w:r>
    </w:p>
    <w:p w14:paraId="25BA6DB1" w14:textId="77777777" w:rsidR="0009470B" w:rsidRDefault="0009470B" w:rsidP="0009470B">
      <w:pPr>
        <w:spacing w:after="0" w:line="276" w:lineRule="auto"/>
      </w:pPr>
      <w:r w:rsidRPr="003A4D3A">
        <w:t xml:space="preserve">The </w:t>
      </w:r>
      <w:r>
        <w:t>communication s</w:t>
      </w:r>
      <w:r w:rsidRPr="003A4D3A">
        <w:t xml:space="preserve">ervices shall include but not be limited to the following: </w:t>
      </w:r>
    </w:p>
    <w:p w14:paraId="43171B39" w14:textId="21DB9DFC" w:rsidR="0009470B" w:rsidRPr="00DF7C95" w:rsidRDefault="0009470B" w:rsidP="0009470B">
      <w:pPr>
        <w:pStyle w:val="ListParagraph"/>
        <w:numPr>
          <w:ilvl w:val="0"/>
          <w:numId w:val="2"/>
        </w:numPr>
        <w:spacing w:after="240" w:line="240" w:lineRule="auto"/>
        <w:jc w:val="both"/>
      </w:pPr>
      <w:r w:rsidRPr="00DF7C95">
        <w:t>Access to the Internet via MW channels</w:t>
      </w:r>
      <w:r w:rsidR="003C4162">
        <w:t>;</w:t>
      </w:r>
    </w:p>
    <w:p w14:paraId="1E0C0A74" w14:textId="5296ACBF" w:rsidR="0009470B" w:rsidRPr="0009470B" w:rsidRDefault="0009470B" w:rsidP="0009470B">
      <w:pPr>
        <w:pStyle w:val="ListParagraph"/>
        <w:numPr>
          <w:ilvl w:val="0"/>
          <w:numId w:val="2"/>
        </w:numPr>
        <w:spacing w:after="0" w:line="276" w:lineRule="auto"/>
        <w:jc w:val="both"/>
        <w:rPr>
          <w:rFonts w:eastAsia="Times New Roman" w:cs="Times New Roman"/>
          <w:bCs/>
          <w:noProof/>
          <w:lang w:eastAsia="ru-RU"/>
        </w:rPr>
      </w:pPr>
      <w:r>
        <w:t>Supplement service:</w:t>
      </w:r>
    </w:p>
    <w:p w14:paraId="3C492611" w14:textId="77777777" w:rsidR="0009470B" w:rsidRDefault="0009470B" w:rsidP="0009470B">
      <w:pPr>
        <w:pStyle w:val="ListParagraph"/>
        <w:numPr>
          <w:ilvl w:val="1"/>
          <w:numId w:val="2"/>
        </w:numPr>
        <w:spacing w:after="0" w:line="276" w:lineRule="auto"/>
        <w:ind w:left="1440"/>
        <w:jc w:val="both"/>
      </w:pPr>
      <w:r w:rsidRPr="00B77F5F">
        <w:t xml:space="preserve">Provision and Installation of </w:t>
      </w:r>
      <w:r>
        <w:t>MW backed up</w:t>
      </w:r>
      <w:r w:rsidRPr="00B77F5F">
        <w:t xml:space="preserve"> channel (</w:t>
      </w:r>
      <w:r>
        <w:t>MW</w:t>
      </w:r>
      <w:r w:rsidRPr="00B77F5F">
        <w:t xml:space="preserve"> equipment set)</w:t>
      </w:r>
      <w:r>
        <w:t>;</w:t>
      </w:r>
    </w:p>
    <w:p w14:paraId="414FB5C4" w14:textId="50EC3B7F" w:rsidR="0009470B" w:rsidRDefault="0009470B" w:rsidP="0009470B">
      <w:pPr>
        <w:pStyle w:val="ListParagraph"/>
        <w:numPr>
          <w:ilvl w:val="1"/>
          <w:numId w:val="2"/>
        </w:numPr>
        <w:spacing w:after="0" w:line="276" w:lineRule="auto"/>
        <w:ind w:left="1440"/>
        <w:jc w:val="both"/>
      </w:pPr>
      <w:r>
        <w:t>Relocation or Dismount of the MW equipment set;</w:t>
      </w:r>
    </w:p>
    <w:p w14:paraId="0AC17F9B" w14:textId="77777777" w:rsidR="0009470B" w:rsidRDefault="0009470B" w:rsidP="0009470B">
      <w:pPr>
        <w:spacing w:after="0" w:line="276" w:lineRule="auto"/>
        <w:jc w:val="both"/>
        <w:rPr>
          <w:rFonts w:eastAsia="Times New Roman" w:cs="Times New Roman"/>
          <w:bCs/>
          <w:noProof/>
          <w:lang w:eastAsia="ru-RU"/>
        </w:rPr>
      </w:pPr>
    </w:p>
    <w:p w14:paraId="2E8B703E" w14:textId="62BE9E47" w:rsidR="0009470B" w:rsidRPr="003A4D3A" w:rsidRDefault="0009470B" w:rsidP="0009470B">
      <w:pPr>
        <w:spacing w:after="0" w:line="276" w:lineRule="auto"/>
        <w:rPr>
          <w:rFonts w:eastAsia="Times New Roman" w:cs="Times New Roman"/>
          <w:bCs/>
          <w:noProof/>
          <w:lang w:eastAsia="ru-RU"/>
        </w:rPr>
      </w:pPr>
      <w:r w:rsidRPr="003A4D3A">
        <w:rPr>
          <w:rFonts w:eastAsia="Times New Roman" w:cs="Times New Roman"/>
          <w:bCs/>
          <w:noProof/>
          <w:lang w:eastAsia="ru-RU"/>
        </w:rPr>
        <w:t xml:space="preserve">The list of Company </w:t>
      </w:r>
      <w:r>
        <w:rPr>
          <w:rFonts w:eastAsia="Times New Roman" w:cs="Times New Roman"/>
          <w:bCs/>
          <w:noProof/>
          <w:lang w:eastAsia="ru-RU"/>
        </w:rPr>
        <w:t>Site</w:t>
      </w:r>
      <w:r w:rsidRPr="003A4D3A">
        <w:rPr>
          <w:rFonts w:eastAsia="Times New Roman" w:cs="Times New Roman"/>
          <w:bCs/>
          <w:noProof/>
          <w:lang w:eastAsia="ru-RU"/>
        </w:rPr>
        <w:t>s where the Services shall be provided includes but is not limited to:</w:t>
      </w:r>
    </w:p>
    <w:p w14:paraId="365DD51D" w14:textId="7497A26A" w:rsidR="0009470B" w:rsidRPr="003A4D3A" w:rsidRDefault="0009470B" w:rsidP="0009470B">
      <w:pPr>
        <w:pStyle w:val="ListParagraph"/>
        <w:numPr>
          <w:ilvl w:val="0"/>
          <w:numId w:val="3"/>
        </w:numPr>
        <w:spacing w:after="0" w:line="276" w:lineRule="auto"/>
        <w:jc w:val="both"/>
        <w:rPr>
          <w:rFonts w:eastAsia="Times New Roman" w:cs="Times New Roman"/>
          <w:bCs/>
          <w:noProof/>
          <w:lang w:eastAsia="ru-RU"/>
        </w:rPr>
      </w:pPr>
      <w:r w:rsidRPr="003A4D3A">
        <w:rPr>
          <w:rFonts w:eastAsia="Times New Roman" w:cs="Times New Roman"/>
          <w:bCs/>
          <w:noProof/>
          <w:lang w:eastAsia="ru-RU"/>
        </w:rPr>
        <w:t xml:space="preserve">location inside </w:t>
      </w:r>
      <w:r>
        <w:rPr>
          <w:rFonts w:eastAsia="Times New Roman" w:cs="Times New Roman"/>
          <w:bCs/>
          <w:noProof/>
          <w:lang w:eastAsia="ru-RU"/>
        </w:rPr>
        <w:t xml:space="preserve">Iraq - </w:t>
      </w:r>
      <w:r w:rsidRPr="003A4D3A">
        <w:rPr>
          <w:rFonts w:eastAsia="Times New Roman" w:cs="Times New Roman"/>
          <w:bCs/>
          <w:kern w:val="32"/>
          <w:lang w:eastAsia="ru-RU"/>
        </w:rPr>
        <w:t>in Baghdad</w:t>
      </w:r>
      <w:r>
        <w:rPr>
          <w:rFonts w:eastAsia="Times New Roman" w:cs="Times New Roman"/>
          <w:bCs/>
          <w:kern w:val="32"/>
          <w:lang w:eastAsia="ru-RU"/>
        </w:rPr>
        <w:t>.</w:t>
      </w:r>
    </w:p>
    <w:p w14:paraId="5E02DAA9" w14:textId="77777777" w:rsidR="0009470B" w:rsidRPr="0009470B" w:rsidRDefault="0009470B" w:rsidP="0009470B">
      <w:pPr>
        <w:spacing w:after="0" w:line="276" w:lineRule="auto"/>
        <w:jc w:val="both"/>
        <w:rPr>
          <w:rFonts w:eastAsia="Times New Roman" w:cs="Times New Roman"/>
          <w:bCs/>
          <w:noProof/>
          <w:lang w:eastAsia="ru-RU"/>
        </w:rPr>
      </w:pPr>
    </w:p>
    <w:p w14:paraId="68D2EFA0" w14:textId="77777777" w:rsidR="006625C6" w:rsidRDefault="00A35A69" w:rsidP="00A35A69">
      <w:r w:rsidRPr="00884D1C">
        <w:t xml:space="preserve">Contractor shall ensure full lifecycle of the Services provided i.e. design, provision and installation of equipment, obtaining of licenses and approvals from official / authorized bodies, commissioning and configuration, maintenance and support, uninstallation of the equipment upon expiration of the Contract and provide the necessary labor for all the mentioned activities. Along with the complex communication services, </w:t>
      </w:r>
    </w:p>
    <w:p w14:paraId="4D812384" w14:textId="77777777" w:rsidR="006625C6" w:rsidRDefault="006625C6" w:rsidP="00A35A69"/>
    <w:p w14:paraId="5A147F84" w14:textId="4F61C4A7" w:rsidR="006625C6" w:rsidRPr="003A4D3A" w:rsidRDefault="00A35A69" w:rsidP="006625C6">
      <w:r w:rsidRPr="00884D1C">
        <w:t xml:space="preserve">Contractor shall provide Company with support of the Services </w:t>
      </w:r>
      <w:r w:rsidR="006625C6">
        <w:t xml:space="preserve">and </w:t>
      </w:r>
      <w:r w:rsidR="006625C6" w:rsidRPr="003A4D3A">
        <w:t xml:space="preserve">shall ensure </w:t>
      </w:r>
      <w:r w:rsidR="006625C6">
        <w:t xml:space="preserve">competence and </w:t>
      </w:r>
      <w:r w:rsidR="006625C6" w:rsidRPr="003A4D3A">
        <w:t>availability of an English-speaking technical support team, which shall be responsible for the Company support including but not limited to:</w:t>
      </w:r>
    </w:p>
    <w:p w14:paraId="6EABE48A" w14:textId="77777777" w:rsidR="006625C6" w:rsidRPr="003A4D3A" w:rsidRDefault="006625C6" w:rsidP="006625C6">
      <w:pPr>
        <w:pStyle w:val="ListParagraph"/>
        <w:numPr>
          <w:ilvl w:val="0"/>
          <w:numId w:val="4"/>
        </w:numPr>
        <w:spacing w:after="240" w:line="240" w:lineRule="auto"/>
        <w:jc w:val="both"/>
      </w:pPr>
      <w:r w:rsidRPr="003A4D3A">
        <w:lastRenderedPageBreak/>
        <w:t>Incident resolution and tracking 24 hours a day 7 days a week for the duration of the Contract</w:t>
      </w:r>
    </w:p>
    <w:p w14:paraId="536B7752" w14:textId="77777777" w:rsidR="006625C6" w:rsidRPr="003A4D3A" w:rsidRDefault="006625C6" w:rsidP="006625C6">
      <w:pPr>
        <w:pStyle w:val="ListParagraph"/>
        <w:numPr>
          <w:ilvl w:val="0"/>
          <w:numId w:val="4"/>
        </w:numPr>
        <w:spacing w:after="240" w:line="240" w:lineRule="auto"/>
        <w:jc w:val="both"/>
      </w:pPr>
      <w:r w:rsidRPr="003A4D3A">
        <w:t>Billing inquiries and support;</w:t>
      </w:r>
    </w:p>
    <w:p w14:paraId="5CCD61EC" w14:textId="77777777" w:rsidR="006625C6" w:rsidRPr="003A4D3A" w:rsidRDefault="006625C6" w:rsidP="006625C6">
      <w:pPr>
        <w:pStyle w:val="ListParagraph"/>
        <w:numPr>
          <w:ilvl w:val="0"/>
          <w:numId w:val="4"/>
        </w:numPr>
        <w:spacing w:after="240" w:line="240" w:lineRule="auto"/>
        <w:jc w:val="both"/>
      </w:pPr>
      <w:r w:rsidRPr="003A4D3A">
        <w:t>Reporting;</w:t>
      </w:r>
    </w:p>
    <w:p w14:paraId="4E329278" w14:textId="39588D96" w:rsidR="006625C6" w:rsidRPr="003A4D3A" w:rsidRDefault="006625C6" w:rsidP="006625C6">
      <w:pPr>
        <w:pStyle w:val="ListParagraph"/>
        <w:numPr>
          <w:ilvl w:val="0"/>
          <w:numId w:val="4"/>
        </w:numPr>
        <w:spacing w:after="240" w:line="240" w:lineRule="auto"/>
        <w:jc w:val="both"/>
      </w:pPr>
      <w:r w:rsidRPr="003A4D3A">
        <w:t>Service-Level Agreement management.</w:t>
      </w:r>
    </w:p>
    <w:p w14:paraId="0529E97A" w14:textId="77777777" w:rsidR="006625C6" w:rsidRPr="003A4D3A" w:rsidRDefault="006625C6" w:rsidP="006625C6">
      <w:pPr>
        <w:pStyle w:val="ListParagraph"/>
        <w:numPr>
          <w:ilvl w:val="0"/>
          <w:numId w:val="4"/>
        </w:numPr>
        <w:spacing w:after="240" w:line="240" w:lineRule="auto"/>
        <w:jc w:val="both"/>
      </w:pPr>
      <w:r w:rsidRPr="003A4D3A">
        <w:t>Customer service/support.</w:t>
      </w:r>
    </w:p>
    <w:p w14:paraId="33EEA5AB" w14:textId="77777777" w:rsidR="006625C6" w:rsidRPr="003A4D3A" w:rsidRDefault="006625C6" w:rsidP="006625C6">
      <w:pPr>
        <w:pStyle w:val="ListParagraph"/>
        <w:numPr>
          <w:ilvl w:val="0"/>
          <w:numId w:val="4"/>
        </w:numPr>
        <w:spacing w:after="240" w:line="240" w:lineRule="auto"/>
        <w:jc w:val="both"/>
      </w:pPr>
      <w:r w:rsidRPr="003A4D3A">
        <w:rPr>
          <w:lang w:eastAsia="ru-RU"/>
        </w:rPr>
        <w:t xml:space="preserve">support via 24x7 Helpdesk which shall include performance monitoring and remote technical assistance, </w:t>
      </w:r>
    </w:p>
    <w:p w14:paraId="65565B60" w14:textId="77777777" w:rsidR="006625C6" w:rsidRDefault="006625C6" w:rsidP="006625C6">
      <w:pPr>
        <w:pStyle w:val="ListParagraph"/>
        <w:numPr>
          <w:ilvl w:val="0"/>
          <w:numId w:val="4"/>
        </w:numPr>
        <w:spacing w:after="240" w:line="240" w:lineRule="auto"/>
        <w:jc w:val="both"/>
      </w:pPr>
      <w:r w:rsidRPr="003A4D3A">
        <w:rPr>
          <w:lang w:eastAsia="ru-RU"/>
        </w:rPr>
        <w:t>provision of dedicated Technical Manager</w:t>
      </w:r>
      <w:r>
        <w:rPr>
          <w:lang w:eastAsia="ru-RU"/>
        </w:rPr>
        <w:t xml:space="preserve"> and Engineer</w:t>
      </w:r>
      <w:r w:rsidRPr="003A4D3A">
        <w:rPr>
          <w:lang w:eastAsia="ru-RU"/>
        </w:rPr>
        <w:t>.</w:t>
      </w:r>
    </w:p>
    <w:p w14:paraId="5C07060D" w14:textId="4A1D1ADB" w:rsidR="0066479E" w:rsidRDefault="00ED6AB4">
      <w:r>
        <w:t>Communication requirements</w:t>
      </w:r>
    </w:p>
    <w:p w14:paraId="3BA59B18" w14:textId="142801E8" w:rsidR="00ED6AB4" w:rsidRPr="003A4D3A" w:rsidRDefault="00ED6AB4" w:rsidP="00FC14B2">
      <w:pPr>
        <w:pStyle w:val="Heading31"/>
        <w:numPr>
          <w:ilvl w:val="0"/>
          <w:numId w:val="5"/>
        </w:numPr>
        <w:rPr>
          <w:sz w:val="22"/>
        </w:rPr>
      </w:pPr>
      <w:bookmarkStart w:id="0" w:name="_Toc56342158"/>
      <w:r w:rsidRPr="003A4D3A">
        <w:rPr>
          <w:sz w:val="22"/>
        </w:rPr>
        <w:t>Access to the Internet via MW channel</w:t>
      </w:r>
      <w:bookmarkEnd w:id="0"/>
    </w:p>
    <w:p w14:paraId="5B3BCCF2" w14:textId="2059C28D" w:rsidR="00ED6AB4" w:rsidRPr="003A4D3A" w:rsidRDefault="00ED6AB4" w:rsidP="00ED6AB4">
      <w:r w:rsidRPr="003A4D3A">
        <w:t xml:space="preserve">Contractor shall provide access to the Internet </w:t>
      </w:r>
      <w:r w:rsidR="003C4162">
        <w:t>via</w:t>
      </w:r>
      <w:r w:rsidRPr="003A4D3A">
        <w:t xml:space="preserve"> MW channel(s</w:t>
      </w:r>
      <w:r w:rsidRPr="00387A39">
        <w:t>) for Company Sites</w:t>
      </w:r>
      <w:r w:rsidR="003660B3">
        <w:t>.</w:t>
      </w:r>
    </w:p>
    <w:p w14:paraId="203248F7" w14:textId="77777777" w:rsidR="00ED6AB4" w:rsidRPr="003A4D3A" w:rsidRDefault="00ED6AB4" w:rsidP="00ED6AB4">
      <w:r w:rsidRPr="003A4D3A">
        <w:t>Common parameters for all Last Miles:</w:t>
      </w:r>
    </w:p>
    <w:p w14:paraId="4425F888" w14:textId="77777777" w:rsidR="00ED6AB4" w:rsidRPr="003A4D3A" w:rsidRDefault="00ED6AB4" w:rsidP="00ED6AB4">
      <w:pPr>
        <w:pStyle w:val="ListParagraph"/>
        <w:numPr>
          <w:ilvl w:val="0"/>
          <w:numId w:val="4"/>
        </w:numPr>
        <w:spacing w:after="240" w:line="240" w:lineRule="auto"/>
        <w:jc w:val="both"/>
      </w:pPr>
      <w:r w:rsidRPr="003A4D3A">
        <w:t xml:space="preserve">Round Trip Time ≤ 50 </w:t>
      </w:r>
      <w:proofErr w:type="spellStart"/>
      <w:r w:rsidRPr="003A4D3A">
        <w:t>ms</w:t>
      </w:r>
      <w:proofErr w:type="spellEnd"/>
      <w:r w:rsidRPr="003A4D3A">
        <w:t xml:space="preserve"> between CE and Exchange BR installed at </w:t>
      </w:r>
      <w:proofErr w:type="spellStart"/>
      <w:r w:rsidRPr="003A4D3A">
        <w:t>PoP</w:t>
      </w:r>
      <w:proofErr w:type="spellEnd"/>
      <w:r w:rsidRPr="003A4D3A">
        <w:rPr>
          <w:rStyle w:val="FootnoteReference"/>
          <w:sz w:val="16"/>
        </w:rPr>
        <w:footnoteReference w:id="1"/>
      </w:r>
    </w:p>
    <w:p w14:paraId="7FBC5A36" w14:textId="77777777" w:rsidR="00ED6AB4" w:rsidRPr="003A4D3A" w:rsidRDefault="00ED6AB4" w:rsidP="00ED6AB4">
      <w:pPr>
        <w:pStyle w:val="ListParagraph"/>
        <w:numPr>
          <w:ilvl w:val="0"/>
          <w:numId w:val="4"/>
        </w:numPr>
        <w:spacing w:after="240" w:line="240" w:lineRule="auto"/>
        <w:jc w:val="both"/>
      </w:pPr>
      <w:r w:rsidRPr="003A4D3A">
        <w:t xml:space="preserve">Jitter ≤ 20 </w:t>
      </w:r>
      <w:proofErr w:type="spellStart"/>
      <w:r w:rsidRPr="003A4D3A">
        <w:t>ms</w:t>
      </w:r>
      <w:proofErr w:type="spellEnd"/>
    </w:p>
    <w:p w14:paraId="77DDBD87" w14:textId="77777777" w:rsidR="00ED6AB4" w:rsidRPr="003A4D3A" w:rsidRDefault="00ED6AB4" w:rsidP="00ED6AB4">
      <w:pPr>
        <w:pStyle w:val="ListParagraph"/>
        <w:numPr>
          <w:ilvl w:val="0"/>
          <w:numId w:val="4"/>
        </w:numPr>
        <w:spacing w:after="240" w:line="240" w:lineRule="auto"/>
        <w:jc w:val="both"/>
      </w:pPr>
      <w:r w:rsidRPr="003A4D3A">
        <w:t>Packet loss ≤ 0.1%</w:t>
      </w:r>
    </w:p>
    <w:p w14:paraId="10BCE440" w14:textId="77777777" w:rsidR="00ED6AB4" w:rsidRPr="003A4D3A" w:rsidRDefault="00ED6AB4" w:rsidP="00ED6AB4">
      <w:pPr>
        <w:pStyle w:val="ListParagraph"/>
        <w:numPr>
          <w:ilvl w:val="0"/>
          <w:numId w:val="4"/>
        </w:numPr>
        <w:spacing w:after="240" w:line="240" w:lineRule="auto"/>
        <w:jc w:val="both"/>
      </w:pPr>
      <w:r w:rsidRPr="003A4D3A">
        <w:t>Big Packet transfer - not less than 1500 bytes</w:t>
      </w:r>
    </w:p>
    <w:p w14:paraId="398D16A2" w14:textId="77777777" w:rsidR="00ED6AB4" w:rsidRPr="003A4D3A" w:rsidRDefault="00ED6AB4" w:rsidP="00ED6AB4">
      <w:pPr>
        <w:pStyle w:val="ListParagraph"/>
        <w:numPr>
          <w:ilvl w:val="0"/>
          <w:numId w:val="4"/>
        </w:numPr>
        <w:spacing w:after="240" w:line="240" w:lineRule="auto"/>
        <w:jc w:val="both"/>
        <w:rPr>
          <w:lang w:val="ru-RU"/>
        </w:rPr>
      </w:pPr>
      <w:r w:rsidRPr="003A4D3A">
        <w:t>Unlimited by traffic volume</w:t>
      </w:r>
    </w:p>
    <w:p w14:paraId="74AA2535" w14:textId="77777777" w:rsidR="00ED6AB4" w:rsidRPr="003A4D3A" w:rsidRDefault="00ED6AB4" w:rsidP="00ED6AB4">
      <w:pPr>
        <w:pStyle w:val="ListParagraph"/>
        <w:numPr>
          <w:ilvl w:val="0"/>
          <w:numId w:val="4"/>
        </w:numPr>
        <w:spacing w:after="240" w:line="240" w:lineRule="auto"/>
        <w:jc w:val="both"/>
      </w:pPr>
      <w:r w:rsidRPr="003A4D3A">
        <w:t>Symmetrical bandwidth allocation for download and upload</w:t>
      </w:r>
    </w:p>
    <w:p w14:paraId="3E6252B9" w14:textId="77777777" w:rsidR="00ED6AB4" w:rsidRPr="003A4D3A" w:rsidRDefault="00ED6AB4" w:rsidP="00ED6AB4">
      <w:pPr>
        <w:pStyle w:val="ListParagraph"/>
        <w:numPr>
          <w:ilvl w:val="0"/>
          <w:numId w:val="4"/>
        </w:numPr>
        <w:spacing w:after="240" w:line="240" w:lineRule="auto"/>
        <w:jc w:val="both"/>
      </w:pPr>
      <w:r w:rsidRPr="003A4D3A">
        <w:t>Traffic Prioritization and marking based on Differentiated Services Code Point values in accordance to Company standards to be supported</w:t>
      </w:r>
    </w:p>
    <w:p w14:paraId="5D0C4F68" w14:textId="77777777" w:rsidR="00ED6AB4" w:rsidRPr="003A4D3A" w:rsidRDefault="00ED6AB4" w:rsidP="00ED6AB4">
      <w:pPr>
        <w:pStyle w:val="ListParagraph"/>
        <w:numPr>
          <w:ilvl w:val="0"/>
          <w:numId w:val="4"/>
        </w:numPr>
        <w:spacing w:after="240" w:line="240" w:lineRule="auto"/>
        <w:jc w:val="both"/>
      </w:pPr>
      <w:r w:rsidRPr="003A4D3A">
        <w:t>Point-to-point connection should be made using public IPv4 subnet with 6 IP addresses available for usage by the Company</w:t>
      </w:r>
    </w:p>
    <w:p w14:paraId="3C4F3E92" w14:textId="2B3A3F07" w:rsidR="00ED6AB4" w:rsidRPr="009B0186" w:rsidRDefault="00ED6AB4" w:rsidP="00ED6AB4">
      <w:r w:rsidRPr="00387A39">
        <w:t xml:space="preserve">Each Company Site shall be connected to at least one </w:t>
      </w:r>
      <w:proofErr w:type="spellStart"/>
      <w:r w:rsidRPr="00387A39">
        <w:t>PoP</w:t>
      </w:r>
      <w:proofErr w:type="spellEnd"/>
      <w:r w:rsidRPr="00387A39">
        <w:t xml:space="preserve"> different from the </w:t>
      </w:r>
      <w:proofErr w:type="spellStart"/>
      <w:r w:rsidRPr="00387A39">
        <w:t>PoPs</w:t>
      </w:r>
      <w:proofErr w:type="spellEnd"/>
      <w:r w:rsidRPr="00387A39">
        <w:t xml:space="preserve"> used by all the other Company Sites.</w:t>
      </w:r>
      <w:r w:rsidRPr="003A4D3A">
        <w:t xml:space="preserve"> Before commencing the Services, Contractor shall agree with Company the local ISP and their scope of works along with the list of necessary equipment, which they shall purchase or lease. Reliability of every Last Mile shall be achieved by providing physical redundancy for the equipment and the communication links at every level of the network including geographically dispersed NNI connections to at least two different global Internet service providers. A failover solution shall be implemented to ensure instant and automatic switching between redundant sets of network equipment, redundant communication links and redundant global Internet service providers in case of Service interruption. At least one spare equipment set sufficient for the </w:t>
      </w:r>
      <w:r w:rsidRPr="009B0186">
        <w:t>expedited repair of any of the Last Miles in use must be stored in Contractor’s storage.</w:t>
      </w:r>
    </w:p>
    <w:p w14:paraId="38BF67EF" w14:textId="77777777" w:rsidR="00ED6AB4" w:rsidRPr="009B0186" w:rsidRDefault="00ED6AB4" w:rsidP="00ED6AB4">
      <w:r w:rsidRPr="009B0186">
        <w:t>Border Gateway Protocol (BGP) shall be used between the Company’s equipment (CE) and the Contractor’s equipment (PE). When designing the Last Mile, the Contractor shall take into account the fact that the Company is a registered LIR (Local Internet Registry) and it has its own AS (Autonomous System) number and PI Address Block (IPv4 and IPv6).</w:t>
      </w:r>
    </w:p>
    <w:p w14:paraId="2202FC57" w14:textId="7376552D" w:rsidR="00ED6AB4" w:rsidRPr="009B0186" w:rsidRDefault="00ED6AB4" w:rsidP="00ED6AB4">
      <w:r w:rsidRPr="009B0186">
        <w:t xml:space="preserve">All </w:t>
      </w:r>
      <w:proofErr w:type="spellStart"/>
      <w:r w:rsidRPr="009B0186">
        <w:t>PoPs</w:t>
      </w:r>
      <w:proofErr w:type="spellEnd"/>
      <w:r w:rsidRPr="009B0186">
        <w:t xml:space="preserve"> considered shall be equipped with brand new mid-level Cisco ISR or entry-level Cisco ASR routers which should be used for data transfer from Companies Site, where necessary, and brand new</w:t>
      </w:r>
      <w:r w:rsidR="00C74BC3">
        <w:t xml:space="preserve"> </w:t>
      </w:r>
      <w:r w:rsidRPr="009B0186">
        <w:lastRenderedPageBreak/>
        <w:t>Uninterruptible Power Supply (UPS) enabling a minimum of 4 hours of Cisco ISR or Cisco ASR routers continuous operation in case of power failure.</w:t>
      </w:r>
    </w:p>
    <w:p w14:paraId="5C7409C4" w14:textId="4A55393B" w:rsidR="00ED6AB4" w:rsidRPr="00FB544C" w:rsidRDefault="00ED6AB4" w:rsidP="00ED6AB4">
      <w:r w:rsidRPr="003A4D3A">
        <w:t xml:space="preserve">Last Mile from a </w:t>
      </w:r>
      <w:proofErr w:type="spellStart"/>
      <w:r w:rsidRPr="003A4D3A">
        <w:t>PoP</w:t>
      </w:r>
      <w:proofErr w:type="spellEnd"/>
      <w:r w:rsidRPr="003A4D3A">
        <w:t xml:space="preserve"> to a Company </w:t>
      </w:r>
      <w:r>
        <w:t>Site</w:t>
      </w:r>
      <w:r w:rsidRPr="003A4D3A">
        <w:t xml:space="preserve"> for redundancy shall be implemented as at least two physical links</w:t>
      </w:r>
      <w:r w:rsidR="00FB544C" w:rsidRPr="00FB544C">
        <w:t>:</w:t>
      </w:r>
    </w:p>
    <w:p w14:paraId="6AA78502" w14:textId="77777777" w:rsidR="00ED6AB4" w:rsidRPr="003A4D3A" w:rsidRDefault="00ED6AB4" w:rsidP="00ED6AB4">
      <w:pPr>
        <w:pStyle w:val="ListParagraph"/>
        <w:numPr>
          <w:ilvl w:val="0"/>
          <w:numId w:val="4"/>
        </w:numPr>
        <w:spacing w:after="240" w:line="240" w:lineRule="auto"/>
        <w:jc w:val="both"/>
      </w:pPr>
      <w:r w:rsidRPr="003A4D3A">
        <w:t>redundant MW channel implemented as two different physical channels – where one channel is main and the other channel is backup which operates at the same time and uses totally different set of equipment.</w:t>
      </w:r>
    </w:p>
    <w:p w14:paraId="37A691A4" w14:textId="77777777" w:rsidR="00ED6AB4" w:rsidRPr="003A4D3A" w:rsidRDefault="00ED6AB4" w:rsidP="00ED6AB4">
      <w:r w:rsidRPr="003A4D3A">
        <w:t>At commissioning stage, Contractor shall test all communication links. The results shall be provided to Authorized Person(s) by e-mail within three calendar days after the installation. MW links shall be tested with 24 hours BER Test and the acceptable result of BER Test is less than 1E</w:t>
      </w:r>
      <w:r w:rsidRPr="003A4D3A">
        <w:noBreakHyphen/>
        <w:t xml:space="preserve">9. </w:t>
      </w:r>
    </w:p>
    <w:p w14:paraId="0C2E1A59" w14:textId="77777777" w:rsidR="00ED6AB4" w:rsidRPr="003A4D3A" w:rsidRDefault="00ED6AB4" w:rsidP="00ED6AB4">
      <w:r w:rsidRPr="003A4D3A">
        <w:t xml:space="preserve">Contractor shall offer optimal and the most reliable type of MW and network equipment. Contractor shall install proper telecommunication mast at Company </w:t>
      </w:r>
      <w:r>
        <w:t>Site</w:t>
      </w:r>
      <w:r w:rsidRPr="003A4D3A">
        <w:t xml:space="preserve"> if such mast does not exist yet. For each physical MW channel, the Contractor shall install two antennas at each mast at different heights for the space diversity.</w:t>
      </w:r>
    </w:p>
    <w:p w14:paraId="18E8BD76" w14:textId="77777777" w:rsidR="00910D01" w:rsidRPr="003A4D3A" w:rsidRDefault="00910D01" w:rsidP="00FC14B2">
      <w:pPr>
        <w:pStyle w:val="Heading31"/>
        <w:numPr>
          <w:ilvl w:val="0"/>
          <w:numId w:val="5"/>
        </w:numPr>
        <w:rPr>
          <w:sz w:val="22"/>
          <w:lang w:val="ru-RU"/>
        </w:rPr>
      </w:pPr>
      <w:bookmarkStart w:id="1" w:name="_Toc56342169"/>
      <w:proofErr w:type="spellStart"/>
      <w:r w:rsidRPr="003A4D3A">
        <w:rPr>
          <w:sz w:val="22"/>
          <w:lang w:val="ru-RU"/>
        </w:rPr>
        <w:t>Hotline</w:t>
      </w:r>
      <w:proofErr w:type="spellEnd"/>
      <w:r w:rsidRPr="003A4D3A">
        <w:rPr>
          <w:sz w:val="22"/>
          <w:lang w:val="ru-RU"/>
        </w:rPr>
        <w:t xml:space="preserve"> </w:t>
      </w:r>
      <w:proofErr w:type="spellStart"/>
      <w:r w:rsidRPr="003A4D3A">
        <w:rPr>
          <w:sz w:val="22"/>
          <w:lang w:val="ru-RU"/>
        </w:rPr>
        <w:t>support</w:t>
      </w:r>
      <w:bookmarkEnd w:id="1"/>
      <w:proofErr w:type="spellEnd"/>
    </w:p>
    <w:p w14:paraId="33B92412" w14:textId="77777777" w:rsidR="00910D01" w:rsidRPr="00DE7AD4" w:rsidRDefault="00910D01" w:rsidP="00910D01">
      <w:r w:rsidRPr="003A4D3A">
        <w:t xml:space="preserve">Contractor shall ensure hotline support available </w:t>
      </w:r>
      <w:r>
        <w:t>twenty-four (</w:t>
      </w:r>
      <w:r w:rsidRPr="003A4D3A">
        <w:t>24</w:t>
      </w:r>
      <w:r>
        <w:t xml:space="preserve">) </w:t>
      </w:r>
      <w:r w:rsidRPr="003A4D3A">
        <w:t xml:space="preserve">hours a day </w:t>
      </w:r>
      <w:r>
        <w:t>seven (</w:t>
      </w:r>
      <w:r w:rsidRPr="003A4D3A">
        <w:t>7</w:t>
      </w:r>
      <w:r>
        <w:t>)</w:t>
      </w:r>
      <w:r w:rsidRPr="003A4D3A">
        <w:t xml:space="preserve"> days a week for the duration of the Contract with </w:t>
      </w:r>
      <w:r w:rsidRPr="00DE7AD4">
        <w:t>ability communicating with English-speaking specialists.</w:t>
      </w:r>
    </w:p>
    <w:p w14:paraId="60A995F6" w14:textId="5FB523C3" w:rsidR="00910D01" w:rsidRPr="003A4D3A" w:rsidRDefault="00910D01" w:rsidP="00910D01">
      <w:r w:rsidRPr="00DE7AD4">
        <w:t xml:space="preserve">Hotline support shall immediately respond to any request from the Company sent to e-mail address </w:t>
      </w:r>
      <w:r w:rsidR="006C4981" w:rsidRPr="006C4981">
        <w:rPr>
          <w:szCs w:val="20"/>
          <w:highlight w:val="yellow"/>
        </w:rPr>
        <w:t>Please provide this information</w:t>
      </w:r>
      <w:r w:rsidRPr="00DE7AD4">
        <w:t xml:space="preserve"> or expressed by a call to hotline phone number </w:t>
      </w:r>
      <w:r w:rsidR="006C4981" w:rsidRPr="006C4981">
        <w:rPr>
          <w:szCs w:val="20"/>
          <w:highlight w:val="yellow"/>
        </w:rPr>
        <w:t>Please provide this information</w:t>
      </w:r>
      <w:r w:rsidRPr="00DE7AD4">
        <w:t xml:space="preserve"> with regard to discovered interruption or suspension of the Services (complete loss of connectivity or deterioration of its quality), carrying out of scheduled and/or emergency works on the network etc.</w:t>
      </w:r>
    </w:p>
    <w:p w14:paraId="06CD137D" w14:textId="77777777" w:rsidR="00FC14B2" w:rsidRPr="003A4D3A" w:rsidRDefault="00FC14B2" w:rsidP="00FC14B2">
      <w:pPr>
        <w:pStyle w:val="Heading21"/>
        <w:numPr>
          <w:ilvl w:val="0"/>
          <w:numId w:val="5"/>
        </w:numPr>
        <w:rPr>
          <w:sz w:val="22"/>
        </w:rPr>
      </w:pPr>
      <w:bookmarkStart w:id="2" w:name="_Toc56342170"/>
      <w:r w:rsidRPr="003A4D3A">
        <w:rPr>
          <w:sz w:val="22"/>
          <w:lang w:val="en-US"/>
        </w:rPr>
        <w:t>G</w:t>
      </w:r>
      <w:proofErr w:type="spellStart"/>
      <w:r w:rsidRPr="003A4D3A">
        <w:rPr>
          <w:sz w:val="22"/>
        </w:rPr>
        <w:t>eneral</w:t>
      </w:r>
      <w:proofErr w:type="spellEnd"/>
      <w:r w:rsidRPr="003A4D3A">
        <w:rPr>
          <w:sz w:val="22"/>
        </w:rPr>
        <w:t xml:space="preserve"> Service </w:t>
      </w:r>
      <w:proofErr w:type="spellStart"/>
      <w:r w:rsidRPr="003A4D3A">
        <w:rPr>
          <w:sz w:val="22"/>
        </w:rPr>
        <w:t>requirements</w:t>
      </w:r>
      <w:bookmarkEnd w:id="2"/>
      <w:proofErr w:type="spellEnd"/>
    </w:p>
    <w:p w14:paraId="04714BC6" w14:textId="77777777" w:rsidR="00FC14B2" w:rsidRPr="003A4D3A" w:rsidRDefault="00FC14B2" w:rsidP="00FC14B2">
      <w:pPr>
        <w:pStyle w:val="Heading31"/>
        <w:numPr>
          <w:ilvl w:val="1"/>
          <w:numId w:val="5"/>
        </w:numPr>
        <w:rPr>
          <w:sz w:val="22"/>
          <w:lang w:val="ru-RU"/>
        </w:rPr>
      </w:pPr>
      <w:bookmarkStart w:id="3" w:name="_Toc483464970"/>
      <w:bookmarkStart w:id="4" w:name="_Toc483465047"/>
      <w:bookmarkStart w:id="5" w:name="_Toc483465129"/>
      <w:bookmarkStart w:id="6" w:name="_Toc483465211"/>
      <w:bookmarkStart w:id="7" w:name="_Toc483464971"/>
      <w:bookmarkStart w:id="8" w:name="_Toc483465048"/>
      <w:bookmarkStart w:id="9" w:name="_Toc483465130"/>
      <w:bookmarkStart w:id="10" w:name="_Toc483465212"/>
      <w:bookmarkStart w:id="11" w:name="_Toc483464972"/>
      <w:bookmarkStart w:id="12" w:name="_Toc483465049"/>
      <w:bookmarkStart w:id="13" w:name="_Toc483465131"/>
      <w:bookmarkStart w:id="14" w:name="_Toc483465213"/>
      <w:bookmarkStart w:id="15" w:name="_Toc484111687"/>
      <w:bookmarkStart w:id="16" w:name="_Toc484595047"/>
      <w:bookmarkStart w:id="17" w:name="_Toc56342171"/>
      <w:bookmarkEnd w:id="3"/>
      <w:bookmarkEnd w:id="4"/>
      <w:bookmarkEnd w:id="5"/>
      <w:bookmarkEnd w:id="6"/>
      <w:bookmarkEnd w:id="7"/>
      <w:bookmarkEnd w:id="8"/>
      <w:bookmarkEnd w:id="9"/>
      <w:bookmarkEnd w:id="10"/>
      <w:bookmarkEnd w:id="11"/>
      <w:bookmarkEnd w:id="12"/>
      <w:bookmarkEnd w:id="13"/>
      <w:bookmarkEnd w:id="14"/>
      <w:bookmarkEnd w:id="15"/>
      <w:bookmarkEnd w:id="16"/>
      <w:proofErr w:type="spellStart"/>
      <w:r w:rsidRPr="003A4D3A">
        <w:rPr>
          <w:sz w:val="22"/>
          <w:lang w:val="ru-RU"/>
        </w:rPr>
        <w:t>Contractor's</w:t>
      </w:r>
      <w:proofErr w:type="spellEnd"/>
      <w:r w:rsidRPr="003A4D3A">
        <w:rPr>
          <w:sz w:val="22"/>
          <w:lang w:val="ru-RU"/>
        </w:rPr>
        <w:t xml:space="preserve"> </w:t>
      </w:r>
      <w:proofErr w:type="spellStart"/>
      <w:r w:rsidRPr="003A4D3A">
        <w:rPr>
          <w:sz w:val="22"/>
          <w:lang w:val="ru-RU"/>
        </w:rPr>
        <w:t>responsibilities</w:t>
      </w:r>
      <w:bookmarkEnd w:id="17"/>
      <w:proofErr w:type="spellEnd"/>
    </w:p>
    <w:p w14:paraId="0974A899" w14:textId="77777777" w:rsidR="00FC14B2" w:rsidRPr="003A4D3A" w:rsidRDefault="00FC14B2" w:rsidP="00FC14B2">
      <w:r w:rsidRPr="003A4D3A">
        <w:t>For the period of Services execution, Contractor shall provide Company with the following:</w:t>
      </w:r>
    </w:p>
    <w:p w14:paraId="5B74BBDD" w14:textId="77777777" w:rsidR="00FC14B2" w:rsidRPr="003A4D3A" w:rsidRDefault="00FC14B2" w:rsidP="00FC14B2">
      <w:pPr>
        <w:pStyle w:val="ListParagraph"/>
        <w:numPr>
          <w:ilvl w:val="0"/>
          <w:numId w:val="7"/>
        </w:numPr>
        <w:spacing w:after="240" w:line="240" w:lineRule="auto"/>
        <w:jc w:val="both"/>
      </w:pPr>
      <w:r w:rsidRPr="003A4D3A">
        <w:t xml:space="preserve">All required network channel terminating equipment </w:t>
      </w:r>
      <w:r>
        <w:t xml:space="preserve">(the “equipment”) </w:t>
      </w:r>
      <w:r w:rsidRPr="003A4D3A">
        <w:t xml:space="preserve">for provision of communication Services under the Contract shall be provisioned, installed, and commissioned by Contractor. </w:t>
      </w:r>
      <w:r w:rsidRPr="00F5617D">
        <w:t>List of the equipment shall be attached to the Services Acceptance Certificate Form as an annex</w:t>
      </w:r>
      <w:r w:rsidRPr="003A4D3A">
        <w:t xml:space="preserve">. All installed equipment e.g. routers, switches etc. will have backups. </w:t>
      </w:r>
      <w:r w:rsidRPr="00952D95">
        <w:t>These backup devices will operate in hot standby mode ready to get engaged if a primary unit fails.</w:t>
      </w:r>
    </w:p>
    <w:p w14:paraId="2857F5A9" w14:textId="77777777" w:rsidR="00FC14B2" w:rsidRPr="003A4D3A" w:rsidRDefault="00FC14B2" w:rsidP="00FC14B2">
      <w:pPr>
        <w:pStyle w:val="ListParagraph"/>
        <w:numPr>
          <w:ilvl w:val="0"/>
          <w:numId w:val="7"/>
        </w:numPr>
        <w:spacing w:after="240" w:line="240" w:lineRule="auto"/>
        <w:jc w:val="both"/>
      </w:pPr>
      <w:r w:rsidRPr="00952D95">
        <w:t>Contractor retains ownership of the Contractor-provided equipment throughout the duration of the Contract. Contractor is solely responsible for prompt repairs or replacements where necessary at its own expense. Contractor shall be responsible for full lifecycle of Services-associated works: design, installation, commissioning, testing, starting up and maintenance, decommissioning and de-installation of the Contractor-provided equipment. The design subjects shall be present to Company approval prior to implementation stage.</w:t>
      </w:r>
    </w:p>
    <w:p w14:paraId="4BAA8690" w14:textId="77777777" w:rsidR="00FC14B2" w:rsidRPr="0040500B" w:rsidRDefault="00FC14B2" w:rsidP="00FC14B2">
      <w:pPr>
        <w:pStyle w:val="ListParagraph"/>
        <w:numPr>
          <w:ilvl w:val="0"/>
          <w:numId w:val="7"/>
        </w:numPr>
        <w:shd w:val="clear" w:color="auto" w:fill="FFFFFF" w:themeFill="background1"/>
        <w:spacing w:after="240" w:line="240" w:lineRule="auto"/>
        <w:jc w:val="both"/>
      </w:pPr>
      <w:r w:rsidRPr="0040500B">
        <w:t xml:space="preserve">All permits and licenses required for </w:t>
      </w:r>
      <w:r>
        <w:t xml:space="preserve">import, </w:t>
      </w:r>
      <w:r w:rsidRPr="0040500B">
        <w:t>installation and operation of Contractor's equipment (licenses for Microwave equipment and frequencies, licenses for</w:t>
      </w:r>
      <w:r>
        <w:t xml:space="preserve"> </w:t>
      </w:r>
      <w:r w:rsidRPr="0040500B">
        <w:t xml:space="preserve">supply, operation and </w:t>
      </w:r>
      <w:r w:rsidRPr="0040500B">
        <w:lastRenderedPageBreak/>
        <w:t xml:space="preserve">maintenance of VSAT equipment and etc.) and modification of its infrastructure shall be obtained by Contractor as per the </w:t>
      </w:r>
      <w:r>
        <w:t>Iraqi</w:t>
      </w:r>
      <w:r w:rsidRPr="0040500B">
        <w:t xml:space="preserve"> authorities’ regulations and shall be presented to Company as confirmation of their presence and validity. Contractor shall bear all expenses related to the licenses.</w:t>
      </w:r>
    </w:p>
    <w:p w14:paraId="687F723D" w14:textId="77777777" w:rsidR="00FC14B2" w:rsidRPr="00A5539B" w:rsidRDefault="00FC14B2" w:rsidP="00FC14B2">
      <w:r>
        <w:t>-</w:t>
      </w:r>
      <w:r w:rsidRPr="00A5539B">
        <w:t>All necessary permits and licenses required for the import of telecommunications equipment into the territory of the Republic of Iraq, its further installation and operation, namely:</w:t>
      </w:r>
    </w:p>
    <w:p w14:paraId="7C4E891D" w14:textId="77777777" w:rsidR="00FC14B2" w:rsidRPr="00A5539B" w:rsidRDefault="00FC14B2" w:rsidP="00FC14B2">
      <w:pPr>
        <w:pStyle w:val="ListParagraph"/>
        <w:numPr>
          <w:ilvl w:val="0"/>
          <w:numId w:val="9"/>
        </w:numPr>
        <w:spacing w:after="0"/>
      </w:pPr>
      <w:r w:rsidRPr="00A5539B">
        <w:t>Customs (import) documents, permits, and licenses, for the import and supply of Satellite (VSAT) and Radio (MW) equipment, certified by the relevant State Authorities of the Republic of Iraq (Customs Service, Intelligence Service, CMC, etc.);</w:t>
      </w:r>
    </w:p>
    <w:p w14:paraId="6BEF2082" w14:textId="77777777" w:rsidR="00FC14B2" w:rsidRPr="00A5539B" w:rsidRDefault="00FC14B2" w:rsidP="00FC14B2">
      <w:pPr>
        <w:pStyle w:val="ListParagraph"/>
        <w:numPr>
          <w:ilvl w:val="0"/>
          <w:numId w:val="9"/>
        </w:numPr>
        <w:spacing w:after="0"/>
      </w:pPr>
      <w:r w:rsidRPr="00A5539B">
        <w:t>Current licenses of a communications provider, giving the right to provide satellite and microwave communications services, as well as Internet access services on the territory of the Republic of Iraq, certified by the regulatory state authorities of the Republic of Iraq (CMC);</w:t>
      </w:r>
    </w:p>
    <w:p w14:paraId="4FBF088C" w14:textId="77777777" w:rsidR="00FC14B2" w:rsidRPr="00A5539B" w:rsidRDefault="00FC14B2" w:rsidP="00FC14B2">
      <w:pPr>
        <w:pStyle w:val="ListParagraph"/>
        <w:numPr>
          <w:ilvl w:val="0"/>
          <w:numId w:val="9"/>
        </w:numPr>
        <w:spacing w:after="0"/>
      </w:pPr>
      <w:r w:rsidRPr="00A5539B">
        <w:t>Current licenses give the right to provide operation of Satellite (VSAT) and Radio (MW) equipment and corresponding communication frequencies by the regulatory State Authorities of the Republic of Iraq (CMC).</w:t>
      </w:r>
    </w:p>
    <w:p w14:paraId="6EB7BD4C" w14:textId="77777777" w:rsidR="00FC14B2" w:rsidRPr="00A5539B" w:rsidRDefault="00FC14B2" w:rsidP="00FC14B2">
      <w:pPr>
        <w:pStyle w:val="ListParagraph"/>
        <w:numPr>
          <w:ilvl w:val="0"/>
          <w:numId w:val="9"/>
        </w:numPr>
        <w:spacing w:after="0"/>
      </w:pPr>
      <w:r w:rsidRPr="00A5539B">
        <w:t>Certified Copies of all of the above documents shall be presented to the Company as confirmation of their existence and validity before signing the Contract and attached as an advisory Appendix.</w:t>
      </w:r>
    </w:p>
    <w:p w14:paraId="19E5EFAB" w14:textId="3B0BE787" w:rsidR="00FC14B2" w:rsidRDefault="00FC14B2" w:rsidP="00FC14B2">
      <w:r w:rsidRPr="00A5539B">
        <w:t xml:space="preserve">The Contractor also bears all responsibility and costs associated with timely renewal or obtaining new licenses and permits to use satellite and radio communications equipment and frequencies. </w:t>
      </w:r>
    </w:p>
    <w:p w14:paraId="25282BB2" w14:textId="77777777" w:rsidR="00FC14B2" w:rsidRPr="00A5539B" w:rsidRDefault="00FC14B2" w:rsidP="00FC14B2">
      <w:r w:rsidRPr="004E5E7B">
        <w:t>The Company does not bear any financial and legal responsibility to the regulatory state authorities of the Republic of Iraq in the absence of the appropriate licenses and permits mentioned above. All disputes and disagreements arising between the Contractor and the regulatory State Authorities of the Republic of Iraq during the execution of this Contract shall be resolved by the Contractor according to the Republic of Iraq laws.</w:t>
      </w:r>
    </w:p>
    <w:p w14:paraId="3AB4F092" w14:textId="77777777" w:rsidR="00FC14B2" w:rsidRPr="00A228D0" w:rsidRDefault="00FC14B2" w:rsidP="00FC14B2">
      <w:pPr>
        <w:rPr>
          <w:sz w:val="20"/>
        </w:rPr>
      </w:pPr>
      <w:r w:rsidRPr="00A228D0">
        <w:t>In case</w:t>
      </w:r>
      <w:r>
        <w:t xml:space="preserve"> Company orders a communication service as per the Contract and the equipment necessary for the service provision exists at the Company’s Site, and complies with technical requirements for the Service provision as confirmed by both Parties then upon an agreement between the Company and Contractor, the Contractor shall provide the communication services using the existing equipment.</w:t>
      </w:r>
    </w:p>
    <w:p w14:paraId="56B5F17E" w14:textId="0A9AE416" w:rsidR="00ED6AB4" w:rsidRDefault="00ED6AB4"/>
    <w:p w14:paraId="732CCC59" w14:textId="18A8608E" w:rsidR="004239FC" w:rsidRDefault="004239FC"/>
    <w:p w14:paraId="0E8CE28F" w14:textId="77777777" w:rsidR="004239FC" w:rsidRDefault="004239FC"/>
    <w:p w14:paraId="4E529AA0" w14:textId="068903AA" w:rsidR="00FC14B2" w:rsidRPr="009301F2" w:rsidRDefault="00FC14B2" w:rsidP="00FC14B2">
      <w:pPr>
        <w:pStyle w:val="Heading31"/>
        <w:numPr>
          <w:ilvl w:val="0"/>
          <w:numId w:val="5"/>
        </w:numPr>
        <w:rPr>
          <w:sz w:val="22"/>
          <w:lang w:val="ru-RU"/>
        </w:rPr>
      </w:pPr>
      <w:r w:rsidRPr="00FC14B2">
        <w:rPr>
          <w:sz w:val="22"/>
          <w:lang w:val="ru-RU"/>
        </w:rPr>
        <w:t xml:space="preserve">SLA </w:t>
      </w:r>
      <w:proofErr w:type="spellStart"/>
      <w:r w:rsidRPr="00FC14B2">
        <w:rPr>
          <w:sz w:val="22"/>
          <w:lang w:val="ru-RU"/>
        </w:rPr>
        <w:t>description</w:t>
      </w:r>
      <w:proofErr w:type="spellEnd"/>
    </w:p>
    <w:p w14:paraId="2987F738" w14:textId="55C61F83" w:rsidR="009301F2" w:rsidRDefault="009301F2" w:rsidP="009301F2">
      <w:pPr>
        <w:pStyle w:val="Heading31"/>
        <w:rPr>
          <w:rFonts w:asciiTheme="minorHAnsi" w:eastAsiaTheme="minorHAnsi" w:hAnsiTheme="minorHAnsi" w:cstheme="minorBidi"/>
          <w:b w:val="0"/>
          <w:bCs w:val="0"/>
          <w:color w:val="auto"/>
          <w:kern w:val="2"/>
          <w:sz w:val="22"/>
          <w:szCs w:val="22"/>
          <w:lang w:eastAsia="en-US"/>
          <w14:ligatures w14:val="standardContextual"/>
        </w:rPr>
      </w:pPr>
      <w:r w:rsidRPr="009301F2">
        <w:rPr>
          <w:rFonts w:asciiTheme="minorHAnsi" w:eastAsiaTheme="minorHAnsi" w:hAnsiTheme="minorHAnsi" w:cstheme="minorBidi"/>
          <w:b w:val="0"/>
          <w:bCs w:val="0"/>
          <w:color w:val="auto"/>
          <w:kern w:val="2"/>
          <w:sz w:val="22"/>
          <w:szCs w:val="22"/>
          <w:lang w:eastAsia="en-US"/>
          <w14:ligatures w14:val="standardContextual"/>
        </w:rPr>
        <w:t xml:space="preserve">The purpose of this Service Level Agreement (SLA) is to define the measurable and performance levels for the provision of the Services and to specify any remedies available to the Company if Contractor fails to achieve and maintain these levels throughout the Contract Term. This SLA sets the criteria by which Contractor undertakes to provide Services to the Company as part of the Contract. </w:t>
      </w:r>
    </w:p>
    <w:p w14:paraId="7D2C7422" w14:textId="77777777" w:rsidR="009301F2" w:rsidRPr="003A4D3A" w:rsidRDefault="009301F2" w:rsidP="009301F2">
      <w:pPr>
        <w:rPr>
          <w:rFonts w:cs="Times New Roman"/>
        </w:rPr>
      </w:pPr>
      <w:r w:rsidRPr="003A4D3A">
        <w:rPr>
          <w:rFonts w:cs="Times New Roman"/>
        </w:rPr>
        <w:t>The following table summarizes the SLA parameters and thresholds per circuit type:</w:t>
      </w:r>
    </w:p>
    <w:p w14:paraId="6B6B08E4" w14:textId="77777777" w:rsidR="00FC14B2" w:rsidRDefault="00FC14B2" w:rsidP="00FC14B2">
      <w:pPr>
        <w:spacing w:after="0"/>
        <w:ind w:firstLine="284"/>
        <w:rPr>
          <w:rFonts w:asciiTheme="majorBidi" w:hAnsiTheme="majorBidi" w:cstheme="majorBidi"/>
          <w:b/>
        </w:rPr>
      </w:pPr>
      <w:r w:rsidRPr="003A4D3A">
        <w:rPr>
          <w:rFonts w:asciiTheme="majorBidi" w:hAnsiTheme="majorBidi" w:cstheme="majorBidi"/>
          <w:b/>
        </w:rPr>
        <w:lastRenderedPageBreak/>
        <w:t xml:space="preserve">Table </w:t>
      </w:r>
      <w:r>
        <w:rPr>
          <w:rFonts w:asciiTheme="majorBidi" w:hAnsiTheme="majorBidi" w:cstheme="majorBidi"/>
          <w:b/>
        </w:rPr>
        <w:t>1. SLA P</w:t>
      </w:r>
      <w:r w:rsidRPr="003A4D3A">
        <w:rPr>
          <w:rFonts w:asciiTheme="majorBidi" w:hAnsiTheme="majorBidi" w:cstheme="majorBidi"/>
          <w:b/>
        </w:rPr>
        <w:t>arameters and thresholds</w:t>
      </w:r>
    </w:p>
    <w:p w14:paraId="04410AA4" w14:textId="77777777" w:rsidR="00FC14B2" w:rsidRPr="003A4D3A" w:rsidRDefault="00FC14B2" w:rsidP="00FC14B2">
      <w:pPr>
        <w:spacing w:after="0"/>
        <w:ind w:firstLine="284"/>
        <w:rPr>
          <w:rFonts w:asciiTheme="majorBidi" w:hAnsiTheme="majorBidi" w:cstheme="majorBid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
        <w:gridCol w:w="2758"/>
        <w:gridCol w:w="1310"/>
        <w:gridCol w:w="1056"/>
        <w:gridCol w:w="1181"/>
        <w:gridCol w:w="2510"/>
      </w:tblGrid>
      <w:tr w:rsidR="00FC14B2" w:rsidRPr="003A4D3A" w14:paraId="5425F245" w14:textId="77777777" w:rsidTr="00B9128D">
        <w:trPr>
          <w:trHeight w:val="20"/>
          <w:tblHeader/>
        </w:trPr>
        <w:tc>
          <w:tcPr>
            <w:tcW w:w="0" w:type="auto"/>
            <w:gridSpan w:val="6"/>
          </w:tcPr>
          <w:p w14:paraId="4E41FA23" w14:textId="77777777" w:rsidR="00FC14B2" w:rsidRPr="003A4D3A" w:rsidRDefault="00FC14B2" w:rsidP="00B9128D">
            <w:pPr>
              <w:spacing w:after="0"/>
              <w:jc w:val="center"/>
              <w:rPr>
                <w:rFonts w:cs="Times New Roman"/>
                <w:b/>
                <w:bCs/>
                <w:sz w:val="18"/>
                <w:szCs w:val="20"/>
              </w:rPr>
            </w:pPr>
            <w:r w:rsidRPr="003A4D3A">
              <w:rPr>
                <w:rFonts w:cs="Times New Roman"/>
                <w:b/>
                <w:sz w:val="18"/>
                <w:szCs w:val="20"/>
                <w:lang w:val="ru-RU"/>
              </w:rPr>
              <w:t xml:space="preserve">SLA </w:t>
            </w:r>
            <w:r w:rsidRPr="003A4D3A">
              <w:rPr>
                <w:rFonts w:cs="Times New Roman"/>
                <w:b/>
                <w:sz w:val="18"/>
                <w:szCs w:val="20"/>
              </w:rPr>
              <w:t>parameters</w:t>
            </w:r>
          </w:p>
        </w:tc>
      </w:tr>
      <w:tr w:rsidR="00FC14B2" w:rsidRPr="003A4D3A" w14:paraId="2CBCD023" w14:textId="77777777" w:rsidTr="00B9128D">
        <w:trPr>
          <w:trHeight w:val="20"/>
          <w:tblHeader/>
        </w:trPr>
        <w:tc>
          <w:tcPr>
            <w:tcW w:w="0" w:type="auto"/>
            <w:vAlign w:val="center"/>
          </w:tcPr>
          <w:p w14:paraId="4ECC2DF0" w14:textId="77777777" w:rsidR="00FC14B2" w:rsidRPr="003A4D3A" w:rsidRDefault="00FC14B2" w:rsidP="00B9128D">
            <w:pPr>
              <w:spacing w:after="0"/>
              <w:jc w:val="center"/>
              <w:rPr>
                <w:rFonts w:cs="Times New Roman"/>
                <w:b/>
                <w:sz w:val="16"/>
                <w:szCs w:val="20"/>
                <w:lang w:val="ru-RU"/>
              </w:rPr>
            </w:pPr>
            <w:r w:rsidRPr="003A4D3A">
              <w:rPr>
                <w:b/>
                <w:sz w:val="16"/>
                <w:lang w:val="ru-RU"/>
              </w:rPr>
              <w:t>#</w:t>
            </w:r>
          </w:p>
        </w:tc>
        <w:tc>
          <w:tcPr>
            <w:tcW w:w="0" w:type="auto"/>
            <w:vAlign w:val="center"/>
          </w:tcPr>
          <w:p w14:paraId="0A0B271C" w14:textId="77777777" w:rsidR="00FC14B2" w:rsidRPr="003A4D3A" w:rsidRDefault="00FC14B2" w:rsidP="00B9128D">
            <w:pPr>
              <w:spacing w:after="0"/>
              <w:jc w:val="center"/>
              <w:rPr>
                <w:rFonts w:cs="Times New Roman"/>
                <w:b/>
                <w:sz w:val="16"/>
                <w:szCs w:val="20"/>
                <w:lang w:val="ru-RU"/>
              </w:rPr>
            </w:pPr>
            <w:r w:rsidRPr="003A4D3A">
              <w:rPr>
                <w:b/>
                <w:sz w:val="16"/>
                <w:lang w:val="ru-RU"/>
              </w:rPr>
              <w:t>Service</w:t>
            </w:r>
          </w:p>
        </w:tc>
        <w:tc>
          <w:tcPr>
            <w:tcW w:w="0" w:type="auto"/>
            <w:vAlign w:val="center"/>
          </w:tcPr>
          <w:p w14:paraId="68E80542" w14:textId="77777777" w:rsidR="00FC14B2" w:rsidRPr="003A4D3A" w:rsidRDefault="00FC14B2" w:rsidP="00B9128D">
            <w:pPr>
              <w:spacing w:after="0"/>
              <w:jc w:val="center"/>
              <w:rPr>
                <w:rFonts w:cs="Times New Roman"/>
                <w:b/>
                <w:sz w:val="16"/>
                <w:szCs w:val="20"/>
              </w:rPr>
            </w:pPr>
            <w:proofErr w:type="spellStart"/>
            <w:r w:rsidRPr="003A4D3A">
              <w:rPr>
                <w:b/>
                <w:sz w:val="16"/>
                <w:lang w:val="ru-RU"/>
              </w:rPr>
              <w:t>Round</w:t>
            </w:r>
            <w:proofErr w:type="spellEnd"/>
            <w:r w:rsidRPr="003A4D3A">
              <w:rPr>
                <w:b/>
                <w:sz w:val="16"/>
                <w:lang w:val="ru-RU"/>
              </w:rPr>
              <w:t xml:space="preserve"> </w:t>
            </w:r>
            <w:r w:rsidRPr="003A4D3A">
              <w:rPr>
                <w:b/>
                <w:sz w:val="16"/>
              </w:rPr>
              <w:t>T</w:t>
            </w:r>
            <w:proofErr w:type="spellStart"/>
            <w:r w:rsidRPr="003A4D3A">
              <w:rPr>
                <w:b/>
                <w:sz w:val="16"/>
                <w:lang w:val="ru-RU"/>
              </w:rPr>
              <w:t>rip</w:t>
            </w:r>
            <w:proofErr w:type="spellEnd"/>
            <w:r w:rsidRPr="003A4D3A">
              <w:rPr>
                <w:b/>
                <w:sz w:val="16"/>
                <w:lang w:val="ru-RU"/>
              </w:rPr>
              <w:t xml:space="preserve"> </w:t>
            </w:r>
            <w:r w:rsidRPr="003A4D3A">
              <w:rPr>
                <w:b/>
                <w:sz w:val="16"/>
              </w:rPr>
              <w:t>T</w:t>
            </w:r>
            <w:proofErr w:type="spellStart"/>
            <w:r w:rsidRPr="003A4D3A">
              <w:rPr>
                <w:b/>
                <w:sz w:val="16"/>
                <w:lang w:val="ru-RU"/>
              </w:rPr>
              <w:t>ime</w:t>
            </w:r>
            <w:proofErr w:type="spellEnd"/>
          </w:p>
        </w:tc>
        <w:tc>
          <w:tcPr>
            <w:tcW w:w="1056" w:type="dxa"/>
            <w:vAlign w:val="center"/>
          </w:tcPr>
          <w:p w14:paraId="281E95A3" w14:textId="77777777" w:rsidR="00FC14B2" w:rsidRPr="003A4D3A" w:rsidRDefault="00FC14B2" w:rsidP="00B9128D">
            <w:pPr>
              <w:spacing w:after="0"/>
              <w:jc w:val="center"/>
              <w:rPr>
                <w:rFonts w:cs="Times New Roman"/>
                <w:b/>
                <w:sz w:val="16"/>
                <w:szCs w:val="20"/>
              </w:rPr>
            </w:pPr>
            <w:proofErr w:type="spellStart"/>
            <w:r w:rsidRPr="003A4D3A">
              <w:rPr>
                <w:b/>
                <w:sz w:val="16"/>
                <w:lang w:val="ru-RU"/>
              </w:rPr>
              <w:t>Jitter</w:t>
            </w:r>
            <w:proofErr w:type="spellEnd"/>
          </w:p>
        </w:tc>
        <w:tc>
          <w:tcPr>
            <w:tcW w:w="1181" w:type="dxa"/>
            <w:vAlign w:val="center"/>
          </w:tcPr>
          <w:p w14:paraId="385F4DD4" w14:textId="77777777" w:rsidR="00FC14B2" w:rsidRPr="003A4D3A" w:rsidRDefault="00FC14B2" w:rsidP="00B9128D">
            <w:pPr>
              <w:spacing w:after="0"/>
              <w:jc w:val="center"/>
              <w:rPr>
                <w:rFonts w:cs="Times New Roman"/>
                <w:b/>
                <w:sz w:val="16"/>
                <w:szCs w:val="20"/>
              </w:rPr>
            </w:pPr>
            <w:r w:rsidRPr="003A4D3A">
              <w:rPr>
                <w:b/>
                <w:sz w:val="16"/>
                <w:lang w:val="ru-RU"/>
              </w:rPr>
              <w:t>Packet</w:t>
            </w:r>
            <w:r w:rsidRPr="003A4D3A">
              <w:rPr>
                <w:b/>
                <w:sz w:val="16"/>
              </w:rPr>
              <w:t xml:space="preserve"> </w:t>
            </w:r>
            <w:proofErr w:type="spellStart"/>
            <w:r w:rsidRPr="003A4D3A">
              <w:rPr>
                <w:b/>
                <w:sz w:val="16"/>
                <w:lang w:val="ru-RU"/>
              </w:rPr>
              <w:t>loss</w:t>
            </w:r>
            <w:proofErr w:type="spellEnd"/>
          </w:p>
        </w:tc>
        <w:tc>
          <w:tcPr>
            <w:tcW w:w="2510" w:type="dxa"/>
            <w:vAlign w:val="center"/>
          </w:tcPr>
          <w:p w14:paraId="3B39A006" w14:textId="77777777" w:rsidR="00FC14B2" w:rsidRPr="003A4D3A" w:rsidRDefault="00FC14B2" w:rsidP="00B9128D">
            <w:pPr>
              <w:spacing w:after="0"/>
              <w:jc w:val="center"/>
              <w:rPr>
                <w:rFonts w:cs="Times New Roman"/>
                <w:b/>
                <w:sz w:val="16"/>
                <w:szCs w:val="20"/>
                <w:lang w:val="ru-RU"/>
              </w:rPr>
            </w:pPr>
            <w:r w:rsidRPr="003A4D3A">
              <w:rPr>
                <w:b/>
                <w:sz w:val="16"/>
              </w:rPr>
              <w:t>CIR</w:t>
            </w:r>
          </w:p>
        </w:tc>
      </w:tr>
      <w:tr w:rsidR="00FC14B2" w:rsidRPr="003A4D3A" w14:paraId="740B4BD3" w14:textId="77777777" w:rsidTr="00B9128D">
        <w:trPr>
          <w:trHeight w:val="20"/>
        </w:trPr>
        <w:tc>
          <w:tcPr>
            <w:tcW w:w="0" w:type="auto"/>
          </w:tcPr>
          <w:p w14:paraId="2A25F80F" w14:textId="42115731" w:rsidR="00FC14B2" w:rsidRPr="003A4D3A" w:rsidRDefault="00FC14B2" w:rsidP="00B9128D">
            <w:pPr>
              <w:spacing w:after="0"/>
              <w:rPr>
                <w:rFonts w:cs="Times New Roman"/>
                <w:bCs/>
                <w:sz w:val="16"/>
                <w:szCs w:val="20"/>
                <w:lang w:val="ru-RU"/>
              </w:rPr>
            </w:pPr>
            <w:r w:rsidRPr="003A4D3A">
              <w:rPr>
                <w:bCs/>
                <w:sz w:val="16"/>
                <w:lang w:val="ru-RU"/>
              </w:rPr>
              <w:t>1</w:t>
            </w:r>
          </w:p>
        </w:tc>
        <w:tc>
          <w:tcPr>
            <w:tcW w:w="0" w:type="auto"/>
            <w:vAlign w:val="center"/>
          </w:tcPr>
          <w:p w14:paraId="0DAA2D18" w14:textId="77777777" w:rsidR="00FC14B2" w:rsidRPr="003A4D3A" w:rsidRDefault="00FC14B2" w:rsidP="00B9128D">
            <w:pPr>
              <w:spacing w:after="0"/>
              <w:rPr>
                <w:rFonts w:cs="Times New Roman"/>
                <w:bCs/>
                <w:sz w:val="16"/>
                <w:szCs w:val="20"/>
              </w:rPr>
            </w:pPr>
            <w:r w:rsidRPr="003A4D3A">
              <w:rPr>
                <w:bCs/>
                <w:sz w:val="16"/>
              </w:rPr>
              <w:t>Internet via MW circuit</w:t>
            </w:r>
            <w:r w:rsidRPr="003A4D3A">
              <w:rPr>
                <w:bCs/>
                <w:sz w:val="16"/>
                <w:vertAlign w:val="superscript"/>
              </w:rPr>
              <w:t>2</w:t>
            </w:r>
            <w:r w:rsidRPr="003A4D3A">
              <w:rPr>
                <w:bCs/>
                <w:sz w:val="16"/>
              </w:rPr>
              <w:t xml:space="preserve"> SLA thresholds</w:t>
            </w:r>
          </w:p>
        </w:tc>
        <w:tc>
          <w:tcPr>
            <w:tcW w:w="0" w:type="auto"/>
            <w:vAlign w:val="center"/>
          </w:tcPr>
          <w:p w14:paraId="5490BCCC" w14:textId="77777777" w:rsidR="00FC14B2" w:rsidRPr="003A4D3A" w:rsidRDefault="00FC14B2" w:rsidP="00B9128D">
            <w:pPr>
              <w:spacing w:after="0"/>
              <w:jc w:val="center"/>
              <w:rPr>
                <w:rFonts w:cs="Times New Roman"/>
                <w:sz w:val="16"/>
                <w:szCs w:val="20"/>
              </w:rPr>
            </w:pPr>
            <w:r w:rsidRPr="003A4D3A">
              <w:rPr>
                <w:rFonts w:hint="eastAsia"/>
                <w:sz w:val="16"/>
              </w:rPr>
              <w:t>≤</w:t>
            </w:r>
            <w:r w:rsidRPr="003A4D3A">
              <w:rPr>
                <w:sz w:val="16"/>
                <w:lang w:val="ru-RU"/>
              </w:rPr>
              <w:t>30</w:t>
            </w:r>
            <w:r w:rsidRPr="003A4D3A">
              <w:rPr>
                <w:sz w:val="16"/>
              </w:rPr>
              <w:t>0 ms</w:t>
            </w:r>
            <w:r w:rsidRPr="003A4D3A">
              <w:rPr>
                <w:sz w:val="16"/>
                <w:vertAlign w:val="superscript"/>
              </w:rPr>
              <w:t>5</w:t>
            </w:r>
          </w:p>
        </w:tc>
        <w:tc>
          <w:tcPr>
            <w:tcW w:w="1056" w:type="dxa"/>
            <w:vAlign w:val="center"/>
          </w:tcPr>
          <w:p w14:paraId="4FA7B819" w14:textId="77777777" w:rsidR="00FC14B2" w:rsidRPr="003A4D3A" w:rsidRDefault="00FC14B2" w:rsidP="00B9128D">
            <w:pPr>
              <w:spacing w:after="0"/>
              <w:jc w:val="center"/>
              <w:rPr>
                <w:rFonts w:cs="Times New Roman"/>
                <w:sz w:val="16"/>
                <w:szCs w:val="20"/>
              </w:rPr>
            </w:pPr>
            <w:r w:rsidRPr="003A4D3A">
              <w:rPr>
                <w:rFonts w:hint="eastAsia"/>
                <w:sz w:val="16"/>
              </w:rPr>
              <w:t>≤</w:t>
            </w:r>
            <w:r w:rsidRPr="003A4D3A">
              <w:rPr>
                <w:sz w:val="16"/>
              </w:rPr>
              <w:t>20 ms</w:t>
            </w:r>
            <w:r w:rsidRPr="003A4D3A">
              <w:rPr>
                <w:sz w:val="16"/>
                <w:vertAlign w:val="superscript"/>
              </w:rPr>
              <w:t>5</w:t>
            </w:r>
          </w:p>
        </w:tc>
        <w:tc>
          <w:tcPr>
            <w:tcW w:w="1181" w:type="dxa"/>
            <w:vAlign w:val="center"/>
          </w:tcPr>
          <w:p w14:paraId="704E76B0" w14:textId="77777777" w:rsidR="00FC14B2" w:rsidRPr="003A4D3A" w:rsidRDefault="00FC14B2" w:rsidP="00B9128D">
            <w:pPr>
              <w:spacing w:after="0"/>
              <w:jc w:val="center"/>
              <w:rPr>
                <w:rFonts w:cs="Times New Roman"/>
                <w:sz w:val="16"/>
                <w:szCs w:val="20"/>
              </w:rPr>
            </w:pPr>
            <w:r w:rsidRPr="003A4D3A">
              <w:rPr>
                <w:rFonts w:hint="eastAsia"/>
                <w:sz w:val="16"/>
              </w:rPr>
              <w:t>≤</w:t>
            </w:r>
            <w:r w:rsidRPr="003A4D3A">
              <w:rPr>
                <w:sz w:val="16"/>
              </w:rPr>
              <w:t>0.</w:t>
            </w:r>
            <w:r w:rsidRPr="003A4D3A">
              <w:rPr>
                <w:sz w:val="16"/>
                <w:lang w:val="ru-RU"/>
              </w:rPr>
              <w:t>3</w:t>
            </w:r>
            <w:r w:rsidRPr="003A4D3A">
              <w:rPr>
                <w:sz w:val="16"/>
              </w:rPr>
              <w:t xml:space="preserve">% </w:t>
            </w:r>
            <w:r w:rsidRPr="003A4D3A">
              <w:rPr>
                <w:sz w:val="16"/>
                <w:vertAlign w:val="superscript"/>
              </w:rPr>
              <w:t>5</w:t>
            </w:r>
          </w:p>
        </w:tc>
        <w:tc>
          <w:tcPr>
            <w:tcW w:w="2510" w:type="dxa"/>
          </w:tcPr>
          <w:p w14:paraId="0D2C3574" w14:textId="77777777" w:rsidR="00FC14B2" w:rsidRPr="003A4D3A" w:rsidRDefault="00FC14B2" w:rsidP="00B9128D">
            <w:pPr>
              <w:spacing w:after="0"/>
              <w:rPr>
                <w:rFonts w:cs="Times New Roman"/>
                <w:sz w:val="16"/>
                <w:szCs w:val="20"/>
              </w:rPr>
            </w:pPr>
            <w:r w:rsidRPr="003A4D3A">
              <w:rPr>
                <w:rFonts w:hint="eastAsia"/>
                <w:sz w:val="16"/>
              </w:rPr>
              <w:t>≥</w:t>
            </w:r>
            <w:r w:rsidRPr="003A4D3A">
              <w:rPr>
                <w:sz w:val="16"/>
              </w:rPr>
              <w:t xml:space="preserve"> 90% of specified in the appropriate Call-off Order</w:t>
            </w:r>
          </w:p>
        </w:tc>
      </w:tr>
    </w:tbl>
    <w:p w14:paraId="6E3E69BA" w14:textId="77777777" w:rsidR="00FC14B2" w:rsidRDefault="00FC14B2"/>
    <w:p w14:paraId="2838C5CC" w14:textId="1E844833" w:rsidR="00FC14B2" w:rsidRDefault="009301F2">
      <w:r>
        <w:t>Service availability shall be not less than 98%</w:t>
      </w:r>
    </w:p>
    <w:p w14:paraId="1EC6389E" w14:textId="77777777" w:rsidR="009301F2" w:rsidRPr="003A4D3A" w:rsidRDefault="009301F2" w:rsidP="009301F2">
      <w:pPr>
        <w:pStyle w:val="Heading21"/>
        <w:numPr>
          <w:ilvl w:val="1"/>
          <w:numId w:val="5"/>
        </w:numPr>
        <w:ind w:left="540" w:hanging="540"/>
        <w:rPr>
          <w:sz w:val="22"/>
          <w:lang w:val="en-US"/>
        </w:rPr>
      </w:pPr>
      <w:bookmarkStart w:id="18" w:name="_Toc56342176"/>
      <w:r w:rsidRPr="003A4D3A">
        <w:rPr>
          <w:sz w:val="22"/>
          <w:lang w:val="en-US"/>
        </w:rPr>
        <w:t>Fault resolution - defect fixing and escalation procedures</w:t>
      </w:r>
      <w:bookmarkEnd w:id="18"/>
    </w:p>
    <w:p w14:paraId="3576D520" w14:textId="77777777" w:rsidR="009301F2" w:rsidRPr="003A4D3A" w:rsidRDefault="009301F2" w:rsidP="009301F2">
      <w:r w:rsidRPr="003A4D3A">
        <w:t xml:space="preserve">In the event of a fault with the </w:t>
      </w:r>
      <w:r>
        <w:t>s</w:t>
      </w:r>
      <w:r w:rsidRPr="003A4D3A">
        <w:t>ervices, Contractor shall assign a trouble ticket number and promptly implement fault elimination procedures (in case the cause of a fault is within Contractor’s area of responsibility). Contractor shall inform the Company as to the progress of fault diagnostics and elimination.</w:t>
      </w:r>
    </w:p>
    <w:p w14:paraId="2ADAEA4B" w14:textId="77777777" w:rsidR="009301F2" w:rsidRPr="003A4D3A" w:rsidRDefault="009301F2" w:rsidP="009301F2">
      <w:r w:rsidRPr="003A4D3A">
        <w:t>The following priority levels apply to the Services:</w:t>
      </w:r>
    </w:p>
    <w:p w14:paraId="2B5B0588" w14:textId="77777777" w:rsidR="009301F2" w:rsidRPr="003A4D3A" w:rsidRDefault="009301F2" w:rsidP="009301F2">
      <w:pPr>
        <w:spacing w:after="0"/>
        <w:ind w:firstLine="284"/>
        <w:rPr>
          <w:b/>
        </w:rPr>
      </w:pPr>
      <w:r w:rsidRPr="003A4D3A">
        <w:rPr>
          <w:b/>
        </w:rPr>
        <w:t xml:space="preserve">Table 2. Definitions for priority levels </w:t>
      </w:r>
    </w:p>
    <w:tbl>
      <w:tblPr>
        <w:tblpPr w:leftFromText="180" w:rightFromText="180" w:vertAnchor="text" w:horzAnchor="margin" w:tblpXSpec="center" w:tblpY="1"/>
        <w:tblOverlap w:val="neve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8"/>
        <w:gridCol w:w="5800"/>
      </w:tblGrid>
      <w:tr w:rsidR="009301F2" w:rsidRPr="003A4D3A" w14:paraId="32E2241C" w14:textId="77777777" w:rsidTr="00B9128D">
        <w:trPr>
          <w:cantSplit/>
          <w:trHeight w:val="52"/>
        </w:trPr>
        <w:tc>
          <w:tcPr>
            <w:tcW w:w="3588" w:type="dxa"/>
          </w:tcPr>
          <w:p w14:paraId="5DEFF46B" w14:textId="77777777" w:rsidR="009301F2" w:rsidRPr="003A4D3A" w:rsidRDefault="009301F2" w:rsidP="00B9128D">
            <w:pPr>
              <w:pStyle w:val="VZTableText"/>
              <w:jc w:val="center"/>
              <w:rPr>
                <w:rFonts w:ascii="Times New Roman" w:hAnsi="Times New Roman" w:cs="Times New Roman"/>
                <w:b/>
                <w:color w:val="auto"/>
                <w:sz w:val="22"/>
                <w:szCs w:val="24"/>
                <w:lang w:val="en-US"/>
              </w:rPr>
            </w:pPr>
            <w:r w:rsidRPr="003A4D3A">
              <w:rPr>
                <w:rFonts w:ascii="Times New Roman" w:hAnsi="Times New Roman" w:cs="Times New Roman"/>
                <w:b/>
                <w:color w:val="auto"/>
                <w:sz w:val="22"/>
                <w:szCs w:val="24"/>
              </w:rPr>
              <w:t>Fault Severity Level</w:t>
            </w:r>
          </w:p>
        </w:tc>
        <w:tc>
          <w:tcPr>
            <w:tcW w:w="5800" w:type="dxa"/>
          </w:tcPr>
          <w:p w14:paraId="598087AF" w14:textId="77777777" w:rsidR="009301F2" w:rsidRPr="003A4D3A" w:rsidRDefault="009301F2" w:rsidP="00B9128D">
            <w:pPr>
              <w:pStyle w:val="VZTableText"/>
              <w:jc w:val="center"/>
              <w:rPr>
                <w:rFonts w:ascii="Times New Roman" w:hAnsi="Times New Roman" w:cs="Times New Roman"/>
                <w:b/>
                <w:color w:val="auto"/>
                <w:sz w:val="22"/>
                <w:szCs w:val="24"/>
                <w:lang w:val="en-US"/>
              </w:rPr>
            </w:pPr>
            <w:r w:rsidRPr="003A4D3A">
              <w:rPr>
                <w:rFonts w:ascii="Times New Roman" w:hAnsi="Times New Roman" w:cs="Times New Roman"/>
                <w:b/>
                <w:color w:val="auto"/>
                <w:sz w:val="22"/>
                <w:szCs w:val="24"/>
              </w:rPr>
              <w:t>Description</w:t>
            </w:r>
          </w:p>
        </w:tc>
      </w:tr>
      <w:tr w:rsidR="009301F2" w:rsidRPr="003A4D3A" w14:paraId="00607316" w14:textId="77777777" w:rsidTr="00B9128D">
        <w:trPr>
          <w:cantSplit/>
          <w:trHeight w:val="52"/>
        </w:trPr>
        <w:tc>
          <w:tcPr>
            <w:tcW w:w="3588" w:type="dxa"/>
            <w:vAlign w:val="center"/>
          </w:tcPr>
          <w:p w14:paraId="2890105A" w14:textId="77777777" w:rsidR="009301F2" w:rsidRPr="003A4D3A" w:rsidRDefault="009301F2" w:rsidP="00B9128D">
            <w:pPr>
              <w:pStyle w:val="VZTableText"/>
              <w:jc w:val="center"/>
              <w:rPr>
                <w:rFonts w:ascii="Times New Roman" w:hAnsi="Times New Roman" w:cs="Times New Roman"/>
                <w:szCs w:val="22"/>
                <w:lang w:val="en-US"/>
              </w:rPr>
            </w:pPr>
            <w:r w:rsidRPr="003A4D3A">
              <w:rPr>
                <w:rFonts w:ascii="Times New Roman" w:hAnsi="Times New Roman" w:cs="Times New Roman"/>
                <w:szCs w:val="22"/>
                <w:lang w:val="en-US"/>
              </w:rPr>
              <w:t xml:space="preserve">Priority 1 </w:t>
            </w:r>
            <w:proofErr w:type="gramStart"/>
            <w:r w:rsidRPr="003A4D3A">
              <w:rPr>
                <w:rFonts w:ascii="Times New Roman" w:hAnsi="Times New Roman" w:cs="Times New Roman"/>
                <w:szCs w:val="22"/>
                <w:lang w:val="en-US"/>
              </w:rPr>
              <w:t>-  Service</w:t>
            </w:r>
            <w:proofErr w:type="gramEnd"/>
            <w:r w:rsidRPr="003A4D3A">
              <w:rPr>
                <w:rFonts w:ascii="Times New Roman" w:hAnsi="Times New Roman" w:cs="Times New Roman"/>
                <w:szCs w:val="22"/>
                <w:lang w:val="en-US"/>
              </w:rPr>
              <w:t xml:space="preserve"> breakdown</w:t>
            </w:r>
          </w:p>
        </w:tc>
        <w:tc>
          <w:tcPr>
            <w:tcW w:w="5800" w:type="dxa"/>
          </w:tcPr>
          <w:p w14:paraId="39D01FCB" w14:textId="77777777" w:rsidR="009301F2" w:rsidRPr="003A4D3A" w:rsidRDefault="009301F2" w:rsidP="00B9128D">
            <w:pPr>
              <w:pStyle w:val="VZTableText"/>
              <w:rPr>
                <w:rFonts w:ascii="Times New Roman" w:hAnsi="Times New Roman" w:cs="Times New Roman"/>
                <w:szCs w:val="22"/>
                <w:lang w:val="en-US"/>
              </w:rPr>
            </w:pPr>
            <w:r w:rsidRPr="003A4D3A">
              <w:rPr>
                <w:rFonts w:ascii="Times New Roman" w:hAnsi="Times New Roman" w:cs="Times New Roman"/>
                <w:szCs w:val="22"/>
                <w:lang w:val="en-US"/>
              </w:rPr>
              <w:t xml:space="preserve">Complete loss of Service or the Outage – the situation </w:t>
            </w:r>
            <w:proofErr w:type="gramStart"/>
            <w:r w:rsidRPr="003A4D3A">
              <w:rPr>
                <w:rFonts w:ascii="Times New Roman" w:hAnsi="Times New Roman" w:cs="Times New Roman"/>
                <w:szCs w:val="22"/>
                <w:lang w:val="en-US"/>
              </w:rPr>
              <w:t>when</w:t>
            </w:r>
            <w:r w:rsidRPr="003A4D3A">
              <w:rPr>
                <w:rFonts w:ascii="Times New Roman" w:hAnsi="Times New Roman" w:cs="Times New Roman"/>
                <w:color w:val="FF0000"/>
                <w:szCs w:val="22"/>
              </w:rPr>
              <w:t xml:space="preserve"> </w:t>
            </w:r>
            <w:r w:rsidRPr="003A4D3A">
              <w:rPr>
                <w:sz w:val="18"/>
              </w:rPr>
              <w:t xml:space="preserve"> </w:t>
            </w:r>
            <w:r w:rsidRPr="003A4D3A">
              <w:rPr>
                <w:rFonts w:ascii="Times New Roman" w:hAnsi="Times New Roman" w:cs="Times New Roman"/>
                <w:color w:val="auto"/>
                <w:szCs w:val="22"/>
              </w:rPr>
              <w:t>any</w:t>
            </w:r>
            <w:proofErr w:type="gramEnd"/>
            <w:r w:rsidRPr="003A4D3A">
              <w:rPr>
                <w:rFonts w:ascii="Times New Roman" w:hAnsi="Times New Roman" w:cs="Times New Roman"/>
                <w:color w:val="auto"/>
                <w:szCs w:val="22"/>
              </w:rPr>
              <w:t xml:space="preserve"> combination of SLA thresholds are breached</w:t>
            </w:r>
          </w:p>
        </w:tc>
      </w:tr>
      <w:tr w:rsidR="009301F2" w:rsidRPr="003A4D3A" w14:paraId="2BD93AB4" w14:textId="77777777" w:rsidTr="00B9128D">
        <w:trPr>
          <w:cantSplit/>
          <w:trHeight w:val="322"/>
        </w:trPr>
        <w:tc>
          <w:tcPr>
            <w:tcW w:w="3588" w:type="dxa"/>
            <w:vAlign w:val="center"/>
          </w:tcPr>
          <w:p w14:paraId="0F2BB949" w14:textId="77777777" w:rsidR="009301F2" w:rsidRPr="003A4D3A" w:rsidRDefault="009301F2" w:rsidP="00B9128D">
            <w:pPr>
              <w:pStyle w:val="VZTableText"/>
              <w:jc w:val="center"/>
              <w:rPr>
                <w:rFonts w:ascii="Times New Roman" w:hAnsi="Times New Roman" w:cs="Times New Roman"/>
                <w:szCs w:val="22"/>
                <w:lang w:val="en-US"/>
              </w:rPr>
            </w:pPr>
            <w:r w:rsidRPr="003A4D3A">
              <w:rPr>
                <w:rFonts w:ascii="Times New Roman" w:hAnsi="Times New Roman" w:cs="Times New Roman"/>
                <w:szCs w:val="22"/>
                <w:lang w:val="en-US"/>
              </w:rPr>
              <w:t xml:space="preserve">Priority 2 </w:t>
            </w:r>
            <w:proofErr w:type="gramStart"/>
            <w:r w:rsidRPr="003A4D3A">
              <w:rPr>
                <w:rFonts w:ascii="Times New Roman" w:hAnsi="Times New Roman" w:cs="Times New Roman"/>
                <w:szCs w:val="22"/>
                <w:lang w:val="en-US"/>
              </w:rPr>
              <w:t>-  degrading</w:t>
            </w:r>
            <w:proofErr w:type="gramEnd"/>
            <w:r w:rsidRPr="003A4D3A">
              <w:rPr>
                <w:rFonts w:ascii="Times New Roman" w:hAnsi="Times New Roman" w:cs="Times New Roman"/>
                <w:szCs w:val="22"/>
                <w:lang w:val="en-US"/>
              </w:rPr>
              <w:t xml:space="preserve"> Service</w:t>
            </w:r>
          </w:p>
        </w:tc>
        <w:tc>
          <w:tcPr>
            <w:tcW w:w="5800" w:type="dxa"/>
          </w:tcPr>
          <w:p w14:paraId="1B6FD208" w14:textId="77777777" w:rsidR="009301F2" w:rsidRPr="003A4D3A" w:rsidRDefault="009301F2" w:rsidP="00B9128D">
            <w:pPr>
              <w:pStyle w:val="VZTableText"/>
              <w:rPr>
                <w:rFonts w:ascii="Times New Roman" w:hAnsi="Times New Roman" w:cs="Times New Roman"/>
                <w:szCs w:val="22"/>
                <w:lang w:val="en-US"/>
              </w:rPr>
            </w:pPr>
            <w:r w:rsidRPr="003A4D3A">
              <w:rPr>
                <w:rFonts w:ascii="Times New Roman" w:hAnsi="Times New Roman" w:cs="Times New Roman"/>
                <w:szCs w:val="22"/>
              </w:rPr>
              <w:t>The Service is degrading or transient as per the user experience – the situation when the Service becomes worse and SLA thresholds are not necessarily breached.</w:t>
            </w:r>
          </w:p>
        </w:tc>
      </w:tr>
    </w:tbl>
    <w:p w14:paraId="47ADE77A" w14:textId="77777777" w:rsidR="009301F2" w:rsidRPr="003A4D3A" w:rsidRDefault="009301F2" w:rsidP="009301F2">
      <w:pPr>
        <w:spacing w:after="0"/>
      </w:pPr>
    </w:p>
    <w:p w14:paraId="75961639" w14:textId="77777777" w:rsidR="009301F2" w:rsidRPr="003A4D3A" w:rsidRDefault="009301F2" w:rsidP="009301F2">
      <w:r w:rsidRPr="003A4D3A">
        <w:t>If Contractor, according to the Company's point, fails to provide proper fault diagnostics and clearance promptness (if the cause of a fault is within Contractor’s area of responsibility), the Company may escalate the problem in order to ensure that extra help is given to the situation.</w:t>
      </w:r>
    </w:p>
    <w:p w14:paraId="19DF7FEC" w14:textId="77777777" w:rsidR="009301F2" w:rsidRPr="003A4D3A" w:rsidRDefault="009301F2" w:rsidP="009301F2">
      <w:pPr>
        <w:spacing w:after="0"/>
        <w:ind w:firstLine="284"/>
        <w:rPr>
          <w:b/>
        </w:rPr>
      </w:pPr>
      <w:r w:rsidRPr="003A4D3A">
        <w:rPr>
          <w:b/>
        </w:rPr>
        <w:t>Table 3. Escalation levels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3063"/>
        <w:gridCol w:w="2697"/>
      </w:tblGrid>
      <w:tr w:rsidR="009301F2" w:rsidRPr="003A4D3A" w14:paraId="210CC1B6" w14:textId="77777777" w:rsidTr="00B9128D">
        <w:trPr>
          <w:cantSplit/>
        </w:trPr>
        <w:tc>
          <w:tcPr>
            <w:tcW w:w="3600" w:type="dxa"/>
            <w:vMerge w:val="restart"/>
            <w:vAlign w:val="center"/>
          </w:tcPr>
          <w:p w14:paraId="2E3B33E9" w14:textId="77777777" w:rsidR="009301F2" w:rsidRPr="003A4D3A" w:rsidRDefault="009301F2" w:rsidP="00B9128D">
            <w:pPr>
              <w:spacing w:after="0"/>
              <w:jc w:val="center"/>
              <w:rPr>
                <w:b/>
                <w:szCs w:val="20"/>
              </w:rPr>
            </w:pPr>
            <w:r w:rsidRPr="003A4D3A">
              <w:rPr>
                <w:b/>
                <w:szCs w:val="20"/>
              </w:rPr>
              <w:t>Escalation level</w:t>
            </w:r>
          </w:p>
        </w:tc>
        <w:tc>
          <w:tcPr>
            <w:tcW w:w="5760" w:type="dxa"/>
            <w:gridSpan w:val="2"/>
            <w:vAlign w:val="center"/>
          </w:tcPr>
          <w:p w14:paraId="30434DCF" w14:textId="77777777" w:rsidR="009301F2" w:rsidRPr="003A4D3A" w:rsidRDefault="009301F2" w:rsidP="00B9128D">
            <w:pPr>
              <w:spacing w:after="0"/>
              <w:jc w:val="center"/>
              <w:rPr>
                <w:b/>
                <w:bCs/>
                <w:szCs w:val="20"/>
              </w:rPr>
            </w:pPr>
            <w:r w:rsidRPr="003A4D3A">
              <w:rPr>
                <w:b/>
              </w:rPr>
              <w:t>Fault Severity Level</w:t>
            </w:r>
          </w:p>
        </w:tc>
      </w:tr>
      <w:tr w:rsidR="009301F2" w:rsidRPr="003A4D3A" w14:paraId="05C20C5E" w14:textId="77777777" w:rsidTr="00B9128D">
        <w:trPr>
          <w:cantSplit/>
        </w:trPr>
        <w:tc>
          <w:tcPr>
            <w:tcW w:w="3600" w:type="dxa"/>
            <w:vMerge/>
            <w:vAlign w:val="center"/>
          </w:tcPr>
          <w:p w14:paraId="01702FD9" w14:textId="77777777" w:rsidR="009301F2" w:rsidRPr="003A4D3A" w:rsidRDefault="009301F2" w:rsidP="00B9128D">
            <w:pPr>
              <w:spacing w:after="0"/>
              <w:jc w:val="center"/>
              <w:rPr>
                <w:b/>
                <w:bCs/>
                <w:szCs w:val="20"/>
              </w:rPr>
            </w:pPr>
          </w:p>
        </w:tc>
        <w:tc>
          <w:tcPr>
            <w:tcW w:w="3063" w:type="dxa"/>
            <w:vAlign w:val="center"/>
          </w:tcPr>
          <w:p w14:paraId="47E84B4F" w14:textId="77777777" w:rsidR="009301F2" w:rsidRPr="003A4D3A" w:rsidRDefault="009301F2" w:rsidP="00B9128D">
            <w:pPr>
              <w:spacing w:after="0"/>
              <w:jc w:val="center"/>
              <w:rPr>
                <w:b/>
                <w:bCs/>
                <w:szCs w:val="20"/>
              </w:rPr>
            </w:pPr>
            <w:r w:rsidRPr="003A4D3A">
              <w:rPr>
                <w:b/>
                <w:bCs/>
                <w:szCs w:val="20"/>
              </w:rPr>
              <w:t>Priority 1</w:t>
            </w:r>
          </w:p>
        </w:tc>
        <w:tc>
          <w:tcPr>
            <w:tcW w:w="2697" w:type="dxa"/>
            <w:vAlign w:val="center"/>
          </w:tcPr>
          <w:p w14:paraId="359DE760" w14:textId="77777777" w:rsidR="009301F2" w:rsidRPr="003A4D3A" w:rsidRDefault="009301F2" w:rsidP="00B9128D">
            <w:pPr>
              <w:spacing w:after="0"/>
              <w:jc w:val="center"/>
              <w:rPr>
                <w:b/>
                <w:bCs/>
                <w:szCs w:val="20"/>
              </w:rPr>
            </w:pPr>
            <w:r w:rsidRPr="003A4D3A">
              <w:rPr>
                <w:b/>
                <w:bCs/>
                <w:szCs w:val="20"/>
              </w:rPr>
              <w:t>Priority 2</w:t>
            </w:r>
          </w:p>
        </w:tc>
      </w:tr>
      <w:tr w:rsidR="009301F2" w:rsidRPr="003A4D3A" w14:paraId="78DE58CD" w14:textId="77777777" w:rsidTr="00B9128D">
        <w:tc>
          <w:tcPr>
            <w:tcW w:w="3600" w:type="dxa"/>
            <w:vAlign w:val="center"/>
          </w:tcPr>
          <w:p w14:paraId="0061385C" w14:textId="77777777" w:rsidR="009301F2" w:rsidRPr="003A4D3A" w:rsidRDefault="009301F2" w:rsidP="00B9128D">
            <w:pPr>
              <w:spacing w:after="0"/>
              <w:jc w:val="center"/>
              <w:rPr>
                <w:szCs w:val="20"/>
              </w:rPr>
            </w:pPr>
            <w:r w:rsidRPr="003A4D3A">
              <w:rPr>
                <w:szCs w:val="20"/>
              </w:rPr>
              <w:t>Level 1</w:t>
            </w:r>
          </w:p>
        </w:tc>
        <w:tc>
          <w:tcPr>
            <w:tcW w:w="3063" w:type="dxa"/>
            <w:vAlign w:val="center"/>
          </w:tcPr>
          <w:p w14:paraId="2CBBDC78" w14:textId="77777777" w:rsidR="009301F2" w:rsidRPr="003A4D3A" w:rsidRDefault="009301F2" w:rsidP="00B9128D">
            <w:pPr>
              <w:spacing w:after="0"/>
              <w:jc w:val="center"/>
              <w:rPr>
                <w:szCs w:val="20"/>
              </w:rPr>
            </w:pPr>
            <w:r w:rsidRPr="003A4D3A">
              <w:rPr>
                <w:szCs w:val="20"/>
              </w:rPr>
              <w:t>30 min.</w:t>
            </w:r>
          </w:p>
        </w:tc>
        <w:tc>
          <w:tcPr>
            <w:tcW w:w="2697" w:type="dxa"/>
            <w:vAlign w:val="center"/>
          </w:tcPr>
          <w:p w14:paraId="3E05A02B" w14:textId="77777777" w:rsidR="009301F2" w:rsidRPr="003A4D3A" w:rsidRDefault="009301F2" w:rsidP="00B9128D">
            <w:pPr>
              <w:spacing w:after="0"/>
              <w:jc w:val="center"/>
              <w:rPr>
                <w:szCs w:val="20"/>
              </w:rPr>
            </w:pPr>
            <w:r w:rsidRPr="003A4D3A">
              <w:rPr>
                <w:szCs w:val="20"/>
              </w:rPr>
              <w:t>8 hours</w:t>
            </w:r>
          </w:p>
        </w:tc>
      </w:tr>
      <w:tr w:rsidR="009301F2" w:rsidRPr="003A4D3A" w14:paraId="00BB730C" w14:textId="77777777" w:rsidTr="00B9128D">
        <w:tc>
          <w:tcPr>
            <w:tcW w:w="3600" w:type="dxa"/>
            <w:vAlign w:val="center"/>
          </w:tcPr>
          <w:p w14:paraId="05019FBF" w14:textId="77777777" w:rsidR="009301F2" w:rsidRPr="003A4D3A" w:rsidRDefault="009301F2" w:rsidP="00B9128D">
            <w:pPr>
              <w:spacing w:after="0"/>
              <w:jc w:val="center"/>
              <w:rPr>
                <w:szCs w:val="20"/>
              </w:rPr>
            </w:pPr>
            <w:r w:rsidRPr="003A4D3A">
              <w:rPr>
                <w:szCs w:val="20"/>
              </w:rPr>
              <w:t>Level 2</w:t>
            </w:r>
          </w:p>
        </w:tc>
        <w:tc>
          <w:tcPr>
            <w:tcW w:w="3063" w:type="dxa"/>
            <w:vAlign w:val="center"/>
          </w:tcPr>
          <w:p w14:paraId="2A5A0BD3" w14:textId="77777777" w:rsidR="009301F2" w:rsidRPr="003A4D3A" w:rsidRDefault="009301F2" w:rsidP="00B9128D">
            <w:pPr>
              <w:spacing w:after="0"/>
              <w:jc w:val="center"/>
              <w:rPr>
                <w:szCs w:val="20"/>
              </w:rPr>
            </w:pPr>
            <w:r w:rsidRPr="003A4D3A">
              <w:rPr>
                <w:szCs w:val="20"/>
              </w:rPr>
              <w:t>2 hours</w:t>
            </w:r>
          </w:p>
        </w:tc>
        <w:tc>
          <w:tcPr>
            <w:tcW w:w="2697" w:type="dxa"/>
            <w:vAlign w:val="center"/>
          </w:tcPr>
          <w:p w14:paraId="5B846249" w14:textId="77777777" w:rsidR="009301F2" w:rsidRPr="003A4D3A" w:rsidRDefault="009301F2" w:rsidP="00B9128D">
            <w:pPr>
              <w:spacing w:after="0"/>
              <w:jc w:val="center"/>
              <w:rPr>
                <w:szCs w:val="20"/>
              </w:rPr>
            </w:pPr>
            <w:r w:rsidRPr="003A4D3A">
              <w:rPr>
                <w:szCs w:val="20"/>
              </w:rPr>
              <w:t>2 days</w:t>
            </w:r>
          </w:p>
        </w:tc>
      </w:tr>
      <w:tr w:rsidR="009301F2" w:rsidRPr="003A4D3A" w14:paraId="0D10623F" w14:textId="77777777" w:rsidTr="00B9128D">
        <w:tc>
          <w:tcPr>
            <w:tcW w:w="3600" w:type="dxa"/>
            <w:vAlign w:val="center"/>
          </w:tcPr>
          <w:p w14:paraId="323955BF" w14:textId="77777777" w:rsidR="009301F2" w:rsidRPr="003A4D3A" w:rsidRDefault="009301F2" w:rsidP="00B9128D">
            <w:pPr>
              <w:spacing w:after="0"/>
              <w:jc w:val="center"/>
              <w:rPr>
                <w:szCs w:val="20"/>
              </w:rPr>
            </w:pPr>
            <w:r w:rsidRPr="003A4D3A">
              <w:rPr>
                <w:szCs w:val="20"/>
              </w:rPr>
              <w:t>Level 3</w:t>
            </w:r>
          </w:p>
        </w:tc>
        <w:tc>
          <w:tcPr>
            <w:tcW w:w="3063" w:type="dxa"/>
            <w:vAlign w:val="center"/>
          </w:tcPr>
          <w:p w14:paraId="5C9B57AE" w14:textId="77777777" w:rsidR="009301F2" w:rsidRPr="003A4D3A" w:rsidRDefault="009301F2" w:rsidP="00B9128D">
            <w:pPr>
              <w:spacing w:after="0"/>
              <w:jc w:val="center"/>
              <w:rPr>
                <w:szCs w:val="20"/>
              </w:rPr>
            </w:pPr>
            <w:r w:rsidRPr="003A4D3A">
              <w:rPr>
                <w:szCs w:val="20"/>
              </w:rPr>
              <w:t>4 hours</w:t>
            </w:r>
          </w:p>
        </w:tc>
        <w:tc>
          <w:tcPr>
            <w:tcW w:w="2697" w:type="dxa"/>
            <w:vAlign w:val="center"/>
          </w:tcPr>
          <w:p w14:paraId="4E7F84A4" w14:textId="77777777" w:rsidR="009301F2" w:rsidRPr="003A4D3A" w:rsidRDefault="009301F2" w:rsidP="00B9128D">
            <w:pPr>
              <w:spacing w:after="0"/>
              <w:jc w:val="center"/>
              <w:rPr>
                <w:szCs w:val="20"/>
              </w:rPr>
            </w:pPr>
            <w:r w:rsidRPr="003A4D3A">
              <w:rPr>
                <w:szCs w:val="20"/>
              </w:rPr>
              <w:t>4 days</w:t>
            </w:r>
          </w:p>
        </w:tc>
      </w:tr>
      <w:tr w:rsidR="009301F2" w:rsidRPr="003A4D3A" w14:paraId="15AF251D" w14:textId="77777777" w:rsidTr="00B9128D">
        <w:tc>
          <w:tcPr>
            <w:tcW w:w="3600" w:type="dxa"/>
            <w:vAlign w:val="center"/>
          </w:tcPr>
          <w:p w14:paraId="4895B61F" w14:textId="77777777" w:rsidR="009301F2" w:rsidRPr="003A4D3A" w:rsidRDefault="009301F2" w:rsidP="00B9128D">
            <w:pPr>
              <w:spacing w:after="0"/>
              <w:jc w:val="center"/>
              <w:rPr>
                <w:szCs w:val="20"/>
              </w:rPr>
            </w:pPr>
            <w:r w:rsidRPr="003A4D3A">
              <w:rPr>
                <w:szCs w:val="20"/>
              </w:rPr>
              <w:t>Level 4</w:t>
            </w:r>
          </w:p>
        </w:tc>
        <w:tc>
          <w:tcPr>
            <w:tcW w:w="3063" w:type="dxa"/>
            <w:vAlign w:val="center"/>
          </w:tcPr>
          <w:p w14:paraId="327895AF" w14:textId="77777777" w:rsidR="009301F2" w:rsidRPr="003A4D3A" w:rsidRDefault="009301F2" w:rsidP="00B9128D">
            <w:pPr>
              <w:spacing w:after="0"/>
              <w:jc w:val="center"/>
              <w:rPr>
                <w:szCs w:val="20"/>
              </w:rPr>
            </w:pPr>
            <w:r w:rsidRPr="003A4D3A">
              <w:rPr>
                <w:szCs w:val="20"/>
              </w:rPr>
              <w:t>6 hours</w:t>
            </w:r>
          </w:p>
        </w:tc>
        <w:tc>
          <w:tcPr>
            <w:tcW w:w="2697" w:type="dxa"/>
            <w:vAlign w:val="center"/>
          </w:tcPr>
          <w:p w14:paraId="57132CEB" w14:textId="77777777" w:rsidR="009301F2" w:rsidRPr="003A4D3A" w:rsidRDefault="009301F2" w:rsidP="00B9128D">
            <w:pPr>
              <w:spacing w:after="0"/>
              <w:jc w:val="center"/>
              <w:rPr>
                <w:szCs w:val="20"/>
              </w:rPr>
            </w:pPr>
            <w:r w:rsidRPr="003A4D3A">
              <w:rPr>
                <w:szCs w:val="20"/>
              </w:rPr>
              <w:t>6 days</w:t>
            </w:r>
          </w:p>
        </w:tc>
      </w:tr>
    </w:tbl>
    <w:p w14:paraId="7B2F9908" w14:textId="77777777" w:rsidR="009301F2" w:rsidRPr="003A4D3A" w:rsidRDefault="009301F2" w:rsidP="009301F2"/>
    <w:p w14:paraId="6C0EBD64" w14:textId="77777777" w:rsidR="009301F2" w:rsidRPr="003A4D3A" w:rsidRDefault="009301F2" w:rsidP="009301F2">
      <w:r w:rsidRPr="003A4D3A">
        <w:t>Such escalation shall be performed by the most appropriate means, including e-mail, phone or personal visit. The actual escalation may be handled by directly contacting the appropriate Contractor manager on the following tiered escalation contact list from Table 4</w:t>
      </w:r>
      <w:r>
        <w:t xml:space="preserve"> below</w:t>
      </w:r>
      <w:r w:rsidRPr="003A4D3A">
        <w:t>.</w:t>
      </w:r>
    </w:p>
    <w:p w14:paraId="0C849E57" w14:textId="77777777" w:rsidR="009301F2" w:rsidRPr="003A4D3A" w:rsidRDefault="009301F2" w:rsidP="009301F2">
      <w:r w:rsidRPr="003A4D3A">
        <w:t>The priority level assigned to the problem will determine which level of Service management to be notified when the problem is first reported. As the defined time bands elapse, a successively higher level of Contractor’s management is notified in accordance with the Table 4 below:</w:t>
      </w:r>
    </w:p>
    <w:p w14:paraId="56BB3091" w14:textId="77777777" w:rsidR="009301F2" w:rsidRPr="003A4D3A" w:rsidRDefault="009301F2" w:rsidP="009301F2">
      <w:pPr>
        <w:spacing w:after="0"/>
        <w:ind w:firstLine="284"/>
        <w:rPr>
          <w:b/>
          <w:szCs w:val="20"/>
        </w:rPr>
      </w:pPr>
      <w:r w:rsidRPr="003A4D3A">
        <w:rPr>
          <w:b/>
          <w:szCs w:val="20"/>
        </w:rPr>
        <w:lastRenderedPageBreak/>
        <w:t>Table 4. Escalation path contacts</w:t>
      </w:r>
    </w:p>
    <w:tbl>
      <w:tblPr>
        <w:tblW w:w="921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373"/>
        <w:gridCol w:w="3577"/>
      </w:tblGrid>
      <w:tr w:rsidR="009301F2" w:rsidRPr="003A4D3A" w14:paraId="2B8BE6AF" w14:textId="77777777" w:rsidTr="00B9128D">
        <w:trPr>
          <w:trHeight w:val="413"/>
        </w:trPr>
        <w:tc>
          <w:tcPr>
            <w:tcW w:w="2268" w:type="dxa"/>
            <w:vAlign w:val="center"/>
          </w:tcPr>
          <w:p w14:paraId="66431705" w14:textId="77777777" w:rsidR="009301F2" w:rsidRPr="003A4D3A" w:rsidRDefault="009301F2" w:rsidP="00B9128D">
            <w:pPr>
              <w:spacing w:after="0"/>
              <w:jc w:val="center"/>
              <w:rPr>
                <w:b/>
                <w:szCs w:val="20"/>
              </w:rPr>
            </w:pPr>
            <w:r w:rsidRPr="003A4D3A">
              <w:rPr>
                <w:b/>
                <w:szCs w:val="20"/>
              </w:rPr>
              <w:t>Escalation</w:t>
            </w:r>
            <w:r w:rsidRPr="003A4D3A">
              <w:rPr>
                <w:b/>
                <w:szCs w:val="20"/>
              </w:rPr>
              <w:br/>
              <w:t>level</w:t>
            </w:r>
          </w:p>
        </w:tc>
        <w:tc>
          <w:tcPr>
            <w:tcW w:w="3373" w:type="dxa"/>
            <w:shd w:val="clear" w:color="auto" w:fill="auto"/>
            <w:vAlign w:val="center"/>
          </w:tcPr>
          <w:p w14:paraId="36D70DAF" w14:textId="77777777" w:rsidR="009301F2" w:rsidRPr="003A4D3A" w:rsidRDefault="009301F2" w:rsidP="00B9128D">
            <w:pPr>
              <w:spacing w:after="0"/>
              <w:jc w:val="center"/>
              <w:rPr>
                <w:b/>
                <w:szCs w:val="20"/>
              </w:rPr>
            </w:pPr>
            <w:r w:rsidRPr="003A4D3A">
              <w:rPr>
                <w:b/>
                <w:szCs w:val="20"/>
              </w:rPr>
              <w:t>Contact</w:t>
            </w:r>
          </w:p>
        </w:tc>
        <w:tc>
          <w:tcPr>
            <w:tcW w:w="3577" w:type="dxa"/>
            <w:shd w:val="clear" w:color="auto" w:fill="auto"/>
            <w:vAlign w:val="center"/>
          </w:tcPr>
          <w:p w14:paraId="7334B781" w14:textId="77777777" w:rsidR="009301F2" w:rsidRPr="003A4D3A" w:rsidRDefault="009301F2" w:rsidP="00B9128D">
            <w:pPr>
              <w:spacing w:after="0"/>
              <w:jc w:val="center"/>
              <w:rPr>
                <w:b/>
                <w:szCs w:val="20"/>
              </w:rPr>
            </w:pPr>
            <w:r w:rsidRPr="003A4D3A">
              <w:rPr>
                <w:b/>
                <w:szCs w:val="20"/>
              </w:rPr>
              <w:t>Contact’s</w:t>
            </w:r>
          </w:p>
          <w:p w14:paraId="4870D443" w14:textId="77777777" w:rsidR="009301F2" w:rsidRPr="003A4D3A" w:rsidRDefault="009301F2" w:rsidP="00B9128D">
            <w:pPr>
              <w:spacing w:after="0"/>
              <w:jc w:val="center"/>
              <w:rPr>
                <w:b/>
                <w:szCs w:val="20"/>
              </w:rPr>
            </w:pPr>
            <w:r w:rsidRPr="003A4D3A">
              <w:rPr>
                <w:b/>
                <w:szCs w:val="20"/>
              </w:rPr>
              <w:t>phone number and e-mail address</w:t>
            </w:r>
          </w:p>
        </w:tc>
      </w:tr>
      <w:tr w:rsidR="009301F2" w:rsidRPr="002B167C" w14:paraId="60268ADF" w14:textId="77777777" w:rsidTr="00B9128D">
        <w:tc>
          <w:tcPr>
            <w:tcW w:w="2268" w:type="dxa"/>
            <w:vAlign w:val="center"/>
          </w:tcPr>
          <w:p w14:paraId="311D80F8" w14:textId="77777777" w:rsidR="009301F2" w:rsidRPr="002B167C" w:rsidRDefault="009301F2" w:rsidP="00B9128D">
            <w:pPr>
              <w:spacing w:after="0"/>
              <w:jc w:val="center"/>
              <w:rPr>
                <w:szCs w:val="20"/>
              </w:rPr>
            </w:pPr>
            <w:r w:rsidRPr="002B167C">
              <w:rPr>
                <w:szCs w:val="20"/>
              </w:rPr>
              <w:t>Level 1</w:t>
            </w:r>
          </w:p>
        </w:tc>
        <w:tc>
          <w:tcPr>
            <w:tcW w:w="3373" w:type="dxa"/>
            <w:shd w:val="clear" w:color="auto" w:fill="auto"/>
            <w:vAlign w:val="center"/>
          </w:tcPr>
          <w:p w14:paraId="53E9892D" w14:textId="77777777" w:rsidR="009301F2" w:rsidRPr="002B167C" w:rsidRDefault="009301F2" w:rsidP="00B9128D">
            <w:pPr>
              <w:spacing w:after="0"/>
              <w:jc w:val="center"/>
            </w:pPr>
            <w:r w:rsidRPr="002B167C">
              <w:rPr>
                <w:szCs w:val="20"/>
              </w:rPr>
              <w:t>Contractor’s hotline and technical support teams</w:t>
            </w:r>
          </w:p>
        </w:tc>
        <w:tc>
          <w:tcPr>
            <w:tcW w:w="3577" w:type="dxa"/>
            <w:shd w:val="clear" w:color="auto" w:fill="auto"/>
            <w:vAlign w:val="center"/>
          </w:tcPr>
          <w:p w14:paraId="41407072" w14:textId="390493D1" w:rsidR="009301F2" w:rsidRPr="006C4981" w:rsidRDefault="006C4981" w:rsidP="00B9128D">
            <w:pPr>
              <w:spacing w:after="0"/>
              <w:jc w:val="center"/>
              <w:rPr>
                <w:szCs w:val="20"/>
                <w:highlight w:val="yellow"/>
                <w:lang w:val="ru-RU"/>
              </w:rPr>
            </w:pPr>
            <w:r w:rsidRPr="006C4981">
              <w:rPr>
                <w:szCs w:val="20"/>
                <w:highlight w:val="yellow"/>
              </w:rPr>
              <w:t>Please provide this information</w:t>
            </w:r>
          </w:p>
        </w:tc>
      </w:tr>
      <w:tr w:rsidR="006C4981" w:rsidRPr="002B167C" w14:paraId="109809A2" w14:textId="77777777" w:rsidTr="00E57490">
        <w:tc>
          <w:tcPr>
            <w:tcW w:w="2268" w:type="dxa"/>
            <w:vAlign w:val="center"/>
          </w:tcPr>
          <w:p w14:paraId="41AA7576" w14:textId="77777777" w:rsidR="006C4981" w:rsidRPr="002B167C" w:rsidRDefault="006C4981" w:rsidP="006C4981">
            <w:pPr>
              <w:spacing w:after="0"/>
              <w:jc w:val="center"/>
              <w:rPr>
                <w:szCs w:val="20"/>
              </w:rPr>
            </w:pPr>
            <w:r w:rsidRPr="002B167C">
              <w:rPr>
                <w:szCs w:val="20"/>
              </w:rPr>
              <w:t>Level 2</w:t>
            </w:r>
          </w:p>
        </w:tc>
        <w:tc>
          <w:tcPr>
            <w:tcW w:w="3373" w:type="dxa"/>
            <w:shd w:val="clear" w:color="auto" w:fill="auto"/>
            <w:vAlign w:val="center"/>
          </w:tcPr>
          <w:p w14:paraId="436911A6" w14:textId="77777777" w:rsidR="006C4981" w:rsidRPr="002B167C" w:rsidRDefault="006C4981" w:rsidP="006C4981">
            <w:pPr>
              <w:spacing w:after="0"/>
              <w:jc w:val="center"/>
              <w:rPr>
                <w:szCs w:val="20"/>
              </w:rPr>
            </w:pPr>
            <w:proofErr w:type="gramStart"/>
            <w:r w:rsidRPr="002B167C">
              <w:rPr>
                <w:szCs w:val="20"/>
              </w:rPr>
              <w:t>Contractor’s</w:t>
            </w:r>
            <w:proofErr w:type="gramEnd"/>
            <w:r w:rsidRPr="002B167C">
              <w:rPr>
                <w:szCs w:val="20"/>
              </w:rPr>
              <w:t xml:space="preserve"> assigned</w:t>
            </w:r>
          </w:p>
          <w:p w14:paraId="30D6E8B8" w14:textId="77777777" w:rsidR="006C4981" w:rsidRPr="002B167C" w:rsidRDefault="006C4981" w:rsidP="006C4981">
            <w:pPr>
              <w:spacing w:after="0"/>
              <w:jc w:val="center"/>
            </w:pPr>
            <w:r w:rsidRPr="002B167C">
              <w:rPr>
                <w:szCs w:val="20"/>
              </w:rPr>
              <w:t>Account Manager</w:t>
            </w:r>
          </w:p>
        </w:tc>
        <w:tc>
          <w:tcPr>
            <w:tcW w:w="3577" w:type="dxa"/>
            <w:shd w:val="clear" w:color="auto" w:fill="auto"/>
          </w:tcPr>
          <w:p w14:paraId="3FAAA566" w14:textId="6ABF5C4A" w:rsidR="006C4981" w:rsidRPr="002B167C" w:rsidRDefault="006C4981" w:rsidP="006C4981">
            <w:pPr>
              <w:spacing w:after="0"/>
              <w:jc w:val="center"/>
              <w:rPr>
                <w:bCs/>
                <w:szCs w:val="20"/>
                <w:lang w:val="ru-RU"/>
              </w:rPr>
            </w:pPr>
            <w:r w:rsidRPr="00A4729A">
              <w:rPr>
                <w:szCs w:val="20"/>
                <w:highlight w:val="yellow"/>
              </w:rPr>
              <w:t>Please provide this information</w:t>
            </w:r>
          </w:p>
        </w:tc>
      </w:tr>
      <w:tr w:rsidR="006C4981" w:rsidRPr="002B167C" w14:paraId="54B19DB2" w14:textId="77777777" w:rsidTr="00E57490">
        <w:tc>
          <w:tcPr>
            <w:tcW w:w="2268" w:type="dxa"/>
            <w:vAlign w:val="center"/>
          </w:tcPr>
          <w:p w14:paraId="33B63B95" w14:textId="77777777" w:rsidR="006C4981" w:rsidRPr="002B167C" w:rsidRDefault="006C4981" w:rsidP="006C4981">
            <w:pPr>
              <w:spacing w:after="0"/>
              <w:jc w:val="center"/>
              <w:rPr>
                <w:szCs w:val="20"/>
              </w:rPr>
            </w:pPr>
            <w:r w:rsidRPr="002B167C">
              <w:rPr>
                <w:szCs w:val="20"/>
              </w:rPr>
              <w:t>Level 3</w:t>
            </w:r>
          </w:p>
        </w:tc>
        <w:tc>
          <w:tcPr>
            <w:tcW w:w="3373" w:type="dxa"/>
            <w:shd w:val="clear" w:color="auto" w:fill="auto"/>
            <w:vAlign w:val="center"/>
          </w:tcPr>
          <w:p w14:paraId="711891A7" w14:textId="77777777" w:rsidR="006C4981" w:rsidRPr="002B167C" w:rsidRDefault="006C4981" w:rsidP="006C4981">
            <w:pPr>
              <w:spacing w:after="0"/>
              <w:jc w:val="center"/>
              <w:rPr>
                <w:szCs w:val="20"/>
              </w:rPr>
            </w:pPr>
            <w:r w:rsidRPr="002B167C">
              <w:rPr>
                <w:szCs w:val="20"/>
              </w:rPr>
              <w:t xml:space="preserve">Contractor’s </w:t>
            </w:r>
          </w:p>
          <w:p w14:paraId="56989B4B" w14:textId="77777777" w:rsidR="006C4981" w:rsidRPr="002B167C" w:rsidRDefault="006C4981" w:rsidP="006C4981">
            <w:pPr>
              <w:spacing w:after="0"/>
              <w:jc w:val="center"/>
            </w:pPr>
            <w:r w:rsidRPr="002B167C">
              <w:rPr>
                <w:szCs w:val="20"/>
              </w:rPr>
              <w:t>Service Manager</w:t>
            </w:r>
          </w:p>
        </w:tc>
        <w:tc>
          <w:tcPr>
            <w:tcW w:w="3577" w:type="dxa"/>
            <w:shd w:val="clear" w:color="auto" w:fill="auto"/>
          </w:tcPr>
          <w:p w14:paraId="378A6E2E" w14:textId="3F2F6E24" w:rsidR="006C4981" w:rsidRPr="002B167C" w:rsidRDefault="006C4981" w:rsidP="006C4981">
            <w:pPr>
              <w:spacing w:after="0"/>
              <w:jc w:val="center"/>
              <w:rPr>
                <w:bCs/>
                <w:szCs w:val="20"/>
                <w:lang w:val="ru-RU"/>
              </w:rPr>
            </w:pPr>
            <w:r w:rsidRPr="00A4729A">
              <w:rPr>
                <w:szCs w:val="20"/>
                <w:highlight w:val="yellow"/>
              </w:rPr>
              <w:t>Please provide this information</w:t>
            </w:r>
          </w:p>
        </w:tc>
      </w:tr>
      <w:tr w:rsidR="006C4981" w:rsidRPr="003A4D3A" w14:paraId="0977F114" w14:textId="77777777" w:rsidTr="00E57490">
        <w:trPr>
          <w:trHeight w:val="70"/>
        </w:trPr>
        <w:tc>
          <w:tcPr>
            <w:tcW w:w="2268" w:type="dxa"/>
            <w:vAlign w:val="center"/>
          </w:tcPr>
          <w:p w14:paraId="3CFB9E57" w14:textId="77777777" w:rsidR="006C4981" w:rsidRPr="002B167C" w:rsidRDefault="006C4981" w:rsidP="006C4981">
            <w:pPr>
              <w:spacing w:after="0"/>
              <w:jc w:val="center"/>
              <w:rPr>
                <w:szCs w:val="20"/>
              </w:rPr>
            </w:pPr>
            <w:r w:rsidRPr="002B167C">
              <w:rPr>
                <w:szCs w:val="20"/>
              </w:rPr>
              <w:t>Level 4</w:t>
            </w:r>
          </w:p>
        </w:tc>
        <w:tc>
          <w:tcPr>
            <w:tcW w:w="3373" w:type="dxa"/>
            <w:shd w:val="clear" w:color="auto" w:fill="auto"/>
            <w:vAlign w:val="center"/>
          </w:tcPr>
          <w:p w14:paraId="1BF63FEE" w14:textId="77777777" w:rsidR="006C4981" w:rsidRPr="002B167C" w:rsidRDefault="006C4981" w:rsidP="006C4981">
            <w:pPr>
              <w:spacing w:after="0"/>
              <w:jc w:val="center"/>
              <w:rPr>
                <w:szCs w:val="20"/>
              </w:rPr>
            </w:pPr>
            <w:r w:rsidRPr="002B167C">
              <w:rPr>
                <w:szCs w:val="20"/>
              </w:rPr>
              <w:t xml:space="preserve">Contractor’s </w:t>
            </w:r>
          </w:p>
          <w:p w14:paraId="50FF5C82" w14:textId="77777777" w:rsidR="006C4981" w:rsidRPr="002B167C" w:rsidRDefault="006C4981" w:rsidP="006C4981">
            <w:pPr>
              <w:spacing w:after="0"/>
              <w:jc w:val="center"/>
            </w:pPr>
            <w:r w:rsidRPr="002B167C">
              <w:rPr>
                <w:szCs w:val="20"/>
              </w:rPr>
              <w:t>Service Management Director</w:t>
            </w:r>
          </w:p>
        </w:tc>
        <w:tc>
          <w:tcPr>
            <w:tcW w:w="3577" w:type="dxa"/>
            <w:shd w:val="clear" w:color="auto" w:fill="auto"/>
          </w:tcPr>
          <w:p w14:paraId="6F8CD944" w14:textId="59554315" w:rsidR="006C4981" w:rsidRPr="002B167C" w:rsidRDefault="006C4981" w:rsidP="006C4981">
            <w:pPr>
              <w:spacing w:after="0"/>
              <w:jc w:val="center"/>
              <w:rPr>
                <w:bCs/>
                <w:szCs w:val="20"/>
                <w:lang w:val="ru-RU"/>
              </w:rPr>
            </w:pPr>
            <w:r w:rsidRPr="00A4729A">
              <w:rPr>
                <w:szCs w:val="20"/>
                <w:highlight w:val="yellow"/>
              </w:rPr>
              <w:t>Please provide this information</w:t>
            </w:r>
          </w:p>
        </w:tc>
      </w:tr>
    </w:tbl>
    <w:p w14:paraId="63BB5C93" w14:textId="77777777" w:rsidR="008A340F" w:rsidRDefault="008A340F" w:rsidP="008A340F">
      <w:pPr>
        <w:spacing w:after="200" w:line="276" w:lineRule="auto"/>
        <w:rPr>
          <w:rFonts w:ascii="Times New Roman" w:hAnsi="Times New Roman" w:cs="Times New Roman"/>
          <w:b/>
          <w:bCs/>
          <w:sz w:val="26"/>
          <w:szCs w:val="26"/>
          <w:u w:val="single"/>
        </w:rPr>
      </w:pPr>
    </w:p>
    <w:p w14:paraId="0C168942" w14:textId="77777777" w:rsidR="008A340F" w:rsidRDefault="008A340F" w:rsidP="008A340F">
      <w:pPr>
        <w:spacing w:after="200" w:line="276" w:lineRule="auto"/>
        <w:rPr>
          <w:rFonts w:ascii="Times New Roman" w:hAnsi="Times New Roman" w:cs="Times New Roman"/>
          <w:b/>
          <w:bCs/>
          <w:sz w:val="26"/>
          <w:szCs w:val="26"/>
          <w:u w:val="single"/>
        </w:rPr>
      </w:pPr>
    </w:p>
    <w:p w14:paraId="27879DCD" w14:textId="77777777" w:rsidR="008A340F" w:rsidRDefault="008A340F" w:rsidP="008A340F">
      <w:pPr>
        <w:spacing w:after="200" w:line="276" w:lineRule="auto"/>
        <w:rPr>
          <w:rFonts w:ascii="Times New Roman" w:hAnsi="Times New Roman" w:cs="Times New Roman"/>
          <w:b/>
          <w:bCs/>
          <w:sz w:val="26"/>
          <w:szCs w:val="26"/>
          <w:u w:val="single"/>
        </w:rPr>
      </w:pPr>
    </w:p>
    <w:p w14:paraId="074829AB" w14:textId="153C52BE" w:rsidR="008A340F" w:rsidRPr="008A340F" w:rsidRDefault="008A340F" w:rsidP="00F064AF">
      <w:pPr>
        <w:spacing w:after="0"/>
        <w:rPr>
          <w:b/>
          <w:szCs w:val="20"/>
        </w:rPr>
      </w:pPr>
      <w:r w:rsidRPr="003A4D3A">
        <w:rPr>
          <w:b/>
          <w:szCs w:val="20"/>
        </w:rPr>
        <w:t xml:space="preserve">Table </w:t>
      </w:r>
      <w:r w:rsidR="006C4981">
        <w:rPr>
          <w:b/>
          <w:szCs w:val="20"/>
        </w:rPr>
        <w:t>5</w:t>
      </w:r>
      <w:r>
        <w:rPr>
          <w:b/>
          <w:szCs w:val="20"/>
        </w:rPr>
        <w:t xml:space="preserve">. </w:t>
      </w:r>
      <w:r w:rsidRPr="008A340F">
        <w:rPr>
          <w:b/>
          <w:szCs w:val="20"/>
        </w:rPr>
        <w:t>Commercial Questionnaire:</w:t>
      </w:r>
    </w:p>
    <w:p w14:paraId="04F54EA1" w14:textId="77777777" w:rsidR="008A340F" w:rsidRDefault="008A340F" w:rsidP="00F064AF">
      <w:pPr>
        <w:jc w:val="both"/>
        <w:rPr>
          <w:rFonts w:ascii="Times New Roman" w:hAnsi="Times New Roman" w:cs="Times New Roman"/>
          <w:b/>
          <w:bCs/>
          <w:i/>
          <w:iCs/>
          <w:color w:val="C00000"/>
          <w:sz w:val="28"/>
          <w:szCs w:val="28"/>
        </w:rPr>
      </w:pPr>
    </w:p>
    <w:tbl>
      <w:tblPr>
        <w:tblW w:w="11132" w:type="dxa"/>
        <w:tblInd w:w="-725" w:type="dxa"/>
        <w:tblLook w:val="04A0" w:firstRow="1" w:lastRow="0" w:firstColumn="1" w:lastColumn="0" w:noHBand="0" w:noVBand="1"/>
      </w:tblPr>
      <w:tblGrid>
        <w:gridCol w:w="1660"/>
        <w:gridCol w:w="3632"/>
        <w:gridCol w:w="2735"/>
        <w:gridCol w:w="3105"/>
      </w:tblGrid>
      <w:tr w:rsidR="00F064AF" w:rsidRPr="00CB6E2D" w14:paraId="648F8C1F" w14:textId="77777777" w:rsidTr="0035243A">
        <w:trPr>
          <w:trHeight w:val="688"/>
        </w:trPr>
        <w:tc>
          <w:tcPr>
            <w:tcW w:w="1660" w:type="dxa"/>
            <w:tcBorders>
              <w:top w:val="single" w:sz="4" w:space="0" w:color="auto"/>
              <w:left w:val="single" w:sz="4" w:space="0" w:color="auto"/>
              <w:bottom w:val="single" w:sz="4" w:space="0" w:color="auto"/>
              <w:right w:val="single" w:sz="4" w:space="0" w:color="auto"/>
            </w:tcBorders>
            <w:shd w:val="clear" w:color="000000" w:fill="EBF1DE"/>
            <w:vAlign w:val="center"/>
            <w:hideMark/>
          </w:tcPr>
          <w:p w14:paraId="47B64535" w14:textId="77777777" w:rsidR="00F064AF" w:rsidRPr="00CB6E2D" w:rsidRDefault="00F064AF" w:rsidP="00CB6E2D">
            <w:pPr>
              <w:spacing w:after="0" w:line="240" w:lineRule="auto"/>
              <w:jc w:val="center"/>
              <w:rPr>
                <w:rFonts w:ascii="Calibri" w:eastAsia="Times New Roman" w:hAnsi="Calibri" w:cs="Calibri"/>
                <w:b/>
                <w:bCs/>
                <w:color w:val="000000"/>
                <w:kern w:val="0"/>
                <w14:ligatures w14:val="none"/>
              </w:rPr>
            </w:pPr>
            <w:r w:rsidRPr="00CB6E2D">
              <w:rPr>
                <w:rFonts w:ascii="Calibri" w:eastAsia="Times New Roman" w:hAnsi="Calibri" w:cs="Calibri"/>
                <w:b/>
                <w:bCs/>
                <w:color w:val="000000"/>
                <w:kern w:val="0"/>
                <w14:ligatures w14:val="none"/>
              </w:rPr>
              <w:t>No</w:t>
            </w:r>
          </w:p>
        </w:tc>
        <w:tc>
          <w:tcPr>
            <w:tcW w:w="6367" w:type="dxa"/>
            <w:gridSpan w:val="2"/>
            <w:tcBorders>
              <w:top w:val="single" w:sz="4" w:space="0" w:color="auto"/>
              <w:left w:val="nil"/>
              <w:bottom w:val="single" w:sz="4" w:space="0" w:color="auto"/>
              <w:right w:val="single" w:sz="4" w:space="0" w:color="auto"/>
            </w:tcBorders>
            <w:shd w:val="clear" w:color="000000" w:fill="EBF1DE"/>
            <w:vAlign w:val="center"/>
            <w:hideMark/>
          </w:tcPr>
          <w:p w14:paraId="6206D3CD" w14:textId="06E9EE7B" w:rsidR="00F064AF" w:rsidRPr="00CB6E2D" w:rsidRDefault="00F064AF" w:rsidP="00CB6E2D">
            <w:pPr>
              <w:spacing w:after="0" w:line="240" w:lineRule="auto"/>
              <w:jc w:val="center"/>
              <w:rPr>
                <w:rFonts w:ascii="Calibri" w:eastAsia="Times New Roman" w:hAnsi="Calibri" w:cs="Calibri"/>
                <w:b/>
                <w:bCs/>
                <w:color w:val="000000"/>
                <w:kern w:val="0"/>
                <w14:ligatures w14:val="none"/>
              </w:rPr>
            </w:pPr>
            <w:r w:rsidRPr="00CB6E2D">
              <w:rPr>
                <w:rFonts w:ascii="Calibri" w:eastAsia="Times New Roman" w:hAnsi="Calibri" w:cs="Calibri"/>
                <w:b/>
                <w:bCs/>
                <w:color w:val="000000"/>
                <w:kern w:val="0"/>
                <w14:ligatures w14:val="none"/>
              </w:rPr>
              <w:t>Description</w:t>
            </w:r>
          </w:p>
        </w:tc>
        <w:tc>
          <w:tcPr>
            <w:tcW w:w="3105" w:type="dxa"/>
            <w:tcBorders>
              <w:top w:val="single" w:sz="4" w:space="0" w:color="auto"/>
              <w:left w:val="nil"/>
              <w:bottom w:val="single" w:sz="4" w:space="0" w:color="auto"/>
              <w:right w:val="single" w:sz="4" w:space="0" w:color="auto"/>
            </w:tcBorders>
            <w:shd w:val="clear" w:color="000000" w:fill="EBF1DE"/>
            <w:vAlign w:val="center"/>
            <w:hideMark/>
          </w:tcPr>
          <w:p w14:paraId="66BD1FD6" w14:textId="77777777" w:rsidR="00587763" w:rsidRDefault="00F064AF" w:rsidP="00CB6E2D">
            <w:pPr>
              <w:spacing w:after="0" w:line="240" w:lineRule="auto"/>
              <w:jc w:val="center"/>
              <w:rPr>
                <w:rFonts w:ascii="Calibri" w:eastAsia="Times New Roman" w:hAnsi="Calibri" w:cs="Calibri"/>
                <w:b/>
                <w:bCs/>
                <w:color w:val="000000"/>
                <w:kern w:val="0"/>
                <w14:ligatures w14:val="none"/>
              </w:rPr>
            </w:pPr>
            <w:r w:rsidRPr="00CB6E2D">
              <w:rPr>
                <w:rFonts w:ascii="Calibri" w:eastAsia="Times New Roman" w:hAnsi="Calibri" w:cs="Calibri"/>
                <w:b/>
                <w:bCs/>
                <w:color w:val="000000"/>
                <w:kern w:val="0"/>
                <w14:ligatures w14:val="none"/>
              </w:rPr>
              <w:t>Total Price, including all Taxes and fees</w:t>
            </w:r>
            <w:r w:rsidR="00587763">
              <w:rPr>
                <w:rFonts w:ascii="Calibri" w:eastAsia="Times New Roman" w:hAnsi="Calibri" w:cs="Calibri"/>
                <w:b/>
                <w:bCs/>
                <w:color w:val="000000"/>
                <w:kern w:val="0"/>
                <w14:ligatures w14:val="none"/>
              </w:rPr>
              <w:t xml:space="preserve"> </w:t>
            </w:r>
          </w:p>
          <w:p w14:paraId="3AF85988" w14:textId="2209A2F4" w:rsidR="00F064AF" w:rsidRPr="00CB6E2D" w:rsidRDefault="00587763" w:rsidP="00CB6E2D">
            <w:pPr>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w:t>
            </w:r>
            <w:proofErr w:type="spellStart"/>
            <w:r>
              <w:rPr>
                <w:rFonts w:ascii="Calibri" w:eastAsia="Times New Roman" w:hAnsi="Calibri" w:cs="Calibri"/>
                <w:b/>
                <w:bCs/>
                <w:color w:val="000000"/>
                <w:kern w:val="0"/>
                <w14:ligatures w14:val="none"/>
              </w:rPr>
              <w:t>All inclusive</w:t>
            </w:r>
            <w:proofErr w:type="spellEnd"/>
            <w:r>
              <w:rPr>
                <w:rFonts w:ascii="Calibri" w:eastAsia="Times New Roman" w:hAnsi="Calibri" w:cs="Calibri"/>
                <w:b/>
                <w:bCs/>
                <w:color w:val="000000"/>
                <w:kern w:val="0"/>
                <w14:ligatures w14:val="none"/>
              </w:rPr>
              <w:t xml:space="preserve"> Monthly Rate)</w:t>
            </w:r>
          </w:p>
        </w:tc>
      </w:tr>
      <w:tr w:rsidR="00F064AF" w:rsidRPr="00CB6E2D" w14:paraId="3C9C1721" w14:textId="77777777" w:rsidTr="009410A9">
        <w:trPr>
          <w:trHeight w:val="1269"/>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1FF79AB" w14:textId="77777777" w:rsidR="00F064AF" w:rsidRPr="00CB6E2D" w:rsidRDefault="00F064AF" w:rsidP="00CB6E2D">
            <w:pPr>
              <w:spacing w:after="0" w:line="240" w:lineRule="auto"/>
              <w:jc w:val="center"/>
              <w:rPr>
                <w:rFonts w:ascii="Calibri" w:eastAsia="Times New Roman" w:hAnsi="Calibri" w:cs="Calibri"/>
                <w:color w:val="000000"/>
                <w:kern w:val="0"/>
                <w14:ligatures w14:val="none"/>
              </w:rPr>
            </w:pPr>
            <w:r w:rsidRPr="00CB6E2D">
              <w:rPr>
                <w:rFonts w:ascii="Calibri" w:eastAsia="Times New Roman" w:hAnsi="Calibri" w:cs="Calibri"/>
                <w:color w:val="000000"/>
                <w:kern w:val="0"/>
                <w14:ligatures w14:val="none"/>
              </w:rPr>
              <w:t>1</w:t>
            </w:r>
          </w:p>
        </w:tc>
        <w:tc>
          <w:tcPr>
            <w:tcW w:w="6367" w:type="dxa"/>
            <w:gridSpan w:val="2"/>
            <w:tcBorders>
              <w:top w:val="nil"/>
              <w:left w:val="nil"/>
              <w:bottom w:val="single" w:sz="4" w:space="0" w:color="auto"/>
              <w:right w:val="single" w:sz="4" w:space="0" w:color="auto"/>
            </w:tcBorders>
            <w:shd w:val="clear" w:color="auto" w:fill="auto"/>
            <w:vAlign w:val="center"/>
            <w:hideMark/>
          </w:tcPr>
          <w:p w14:paraId="183409D5" w14:textId="569AE391" w:rsidR="00F064AF" w:rsidRPr="00CB6E2D" w:rsidRDefault="00F064AF" w:rsidP="00F064AF">
            <w:pPr>
              <w:spacing w:after="0" w:line="240" w:lineRule="auto"/>
              <w:jc w:val="center"/>
              <w:rPr>
                <w:rFonts w:ascii="Calibri" w:eastAsia="Times New Roman" w:hAnsi="Calibri" w:cs="Calibri"/>
                <w:color w:val="000000"/>
                <w:kern w:val="0"/>
                <w:sz w:val="24"/>
                <w:szCs w:val="24"/>
                <w14:ligatures w14:val="none"/>
              </w:rPr>
            </w:pPr>
            <w:r w:rsidRPr="00CB6E2D">
              <w:rPr>
                <w:rFonts w:ascii="Calibri" w:eastAsia="Times New Roman" w:hAnsi="Calibri" w:cs="Calibri"/>
                <w:color w:val="000000"/>
                <w:kern w:val="0"/>
                <w:sz w:val="24"/>
                <w:szCs w:val="24"/>
                <w14:ligatures w14:val="none"/>
              </w:rPr>
              <w:t>Internet Service Provider (ISP) in Baghdad</w:t>
            </w:r>
            <w:r>
              <w:rPr>
                <w:rFonts w:ascii="Calibri" w:eastAsia="Times New Roman" w:hAnsi="Calibri" w:cs="Calibri"/>
                <w:color w:val="000000"/>
                <w:kern w:val="0"/>
                <w:sz w:val="24"/>
                <w:szCs w:val="24"/>
                <w14:ligatures w14:val="none"/>
              </w:rPr>
              <w:t xml:space="preserve"> </w:t>
            </w:r>
            <w:r w:rsidRPr="00CB6E2D">
              <w:rPr>
                <w:rFonts w:ascii="Calibri" w:eastAsia="Times New Roman" w:hAnsi="Calibri" w:cs="Calibri"/>
                <w:color w:val="000000"/>
                <w:kern w:val="0"/>
                <w:sz w:val="24"/>
                <w:szCs w:val="24"/>
                <w14:ligatures w14:val="none"/>
              </w:rPr>
              <w:t>(With the rates for 10/20 Mbps bandwidth)</w:t>
            </w:r>
            <w:r>
              <w:rPr>
                <w:rFonts w:ascii="Calibri" w:eastAsia="Times New Roman" w:hAnsi="Calibri" w:cs="Calibri"/>
                <w:color w:val="000000"/>
                <w:kern w:val="0"/>
                <w:sz w:val="24"/>
                <w:szCs w:val="24"/>
                <w14:ligatures w14:val="none"/>
              </w:rPr>
              <w:t xml:space="preserve"> as per above technical requirements</w:t>
            </w:r>
          </w:p>
        </w:tc>
        <w:tc>
          <w:tcPr>
            <w:tcW w:w="3105" w:type="dxa"/>
            <w:tcBorders>
              <w:top w:val="nil"/>
              <w:left w:val="nil"/>
              <w:bottom w:val="single" w:sz="4" w:space="0" w:color="auto"/>
              <w:right w:val="single" w:sz="4" w:space="0" w:color="auto"/>
            </w:tcBorders>
            <w:shd w:val="clear" w:color="000000" w:fill="FFFF00"/>
            <w:vAlign w:val="center"/>
            <w:hideMark/>
          </w:tcPr>
          <w:p w14:paraId="1F69E5A8" w14:textId="74B18D18" w:rsidR="00F064AF" w:rsidRPr="00CB6E2D" w:rsidRDefault="00F064AF" w:rsidP="00CB6E2D">
            <w:pPr>
              <w:spacing w:after="0" w:line="240" w:lineRule="auto"/>
              <w:jc w:val="center"/>
              <w:rPr>
                <w:rFonts w:ascii="Calibri" w:eastAsia="Times New Roman" w:hAnsi="Calibri" w:cs="Calibri"/>
                <w:b/>
                <w:bCs/>
                <w:color w:val="C00000"/>
                <w:kern w:val="0"/>
                <w:sz w:val="24"/>
                <w:szCs w:val="24"/>
                <w14:ligatures w14:val="none"/>
              </w:rPr>
            </w:pPr>
            <w:r w:rsidRPr="00CB6E2D">
              <w:rPr>
                <w:rFonts w:ascii="Calibri" w:eastAsia="Times New Roman" w:hAnsi="Calibri" w:cs="Calibri"/>
                <w:b/>
                <w:bCs/>
                <w:color w:val="C00000"/>
                <w:kern w:val="0"/>
                <w:sz w:val="24"/>
                <w:szCs w:val="24"/>
                <w14:ligatures w14:val="none"/>
              </w:rPr>
              <w:t>PLEASE</w:t>
            </w:r>
            <w:r w:rsidRPr="00CB6E2D">
              <w:rPr>
                <w:rFonts w:ascii="Calibri" w:eastAsia="Times New Roman" w:hAnsi="Calibri" w:cs="Calibri"/>
                <w:b/>
                <w:bCs/>
                <w:color w:val="C00000"/>
                <w:kern w:val="0"/>
                <w:sz w:val="24"/>
                <w:szCs w:val="24"/>
                <w14:ligatures w14:val="none"/>
              </w:rPr>
              <w:t>, PROVIDE YOUR ESTIMATION!</w:t>
            </w:r>
          </w:p>
        </w:tc>
      </w:tr>
      <w:tr w:rsidR="00F064AF" w:rsidRPr="00CB6E2D" w14:paraId="79290081" w14:textId="77777777" w:rsidTr="00F064AF">
        <w:trPr>
          <w:trHeight w:val="253"/>
        </w:trPr>
        <w:tc>
          <w:tcPr>
            <w:tcW w:w="5292" w:type="dxa"/>
            <w:gridSpan w:val="2"/>
            <w:tcBorders>
              <w:top w:val="nil"/>
              <w:left w:val="single" w:sz="4" w:space="0" w:color="auto"/>
              <w:bottom w:val="single" w:sz="4" w:space="0" w:color="auto"/>
              <w:right w:val="nil"/>
            </w:tcBorders>
            <w:shd w:val="clear" w:color="000000" w:fill="EBF1DE"/>
            <w:noWrap/>
            <w:vAlign w:val="center"/>
            <w:hideMark/>
          </w:tcPr>
          <w:p w14:paraId="4B301033" w14:textId="77777777" w:rsidR="00CB6E2D" w:rsidRPr="00CB6E2D" w:rsidRDefault="00CB6E2D" w:rsidP="00CB6E2D">
            <w:pPr>
              <w:spacing w:after="0" w:line="240" w:lineRule="auto"/>
              <w:rPr>
                <w:rFonts w:ascii="Calibri" w:eastAsia="Times New Roman" w:hAnsi="Calibri" w:cs="Calibri"/>
                <w:b/>
                <w:bCs/>
                <w:color w:val="000000"/>
                <w:kern w:val="0"/>
                <w:sz w:val="24"/>
                <w:szCs w:val="24"/>
                <w14:ligatures w14:val="none"/>
              </w:rPr>
            </w:pPr>
            <w:r w:rsidRPr="00CB6E2D">
              <w:rPr>
                <w:rFonts w:ascii="Calibri" w:eastAsia="Times New Roman" w:hAnsi="Calibri" w:cs="Calibri"/>
                <w:b/>
                <w:bCs/>
                <w:color w:val="000000"/>
                <w:kern w:val="0"/>
                <w:sz w:val="24"/>
                <w:szCs w:val="24"/>
                <w14:ligatures w14:val="none"/>
              </w:rPr>
              <w:t>Delivery Period (calendar days)</w:t>
            </w:r>
          </w:p>
        </w:tc>
        <w:tc>
          <w:tcPr>
            <w:tcW w:w="2735" w:type="dxa"/>
            <w:tcBorders>
              <w:top w:val="nil"/>
              <w:left w:val="nil"/>
              <w:bottom w:val="single" w:sz="4" w:space="0" w:color="auto"/>
              <w:right w:val="nil"/>
            </w:tcBorders>
            <w:shd w:val="clear" w:color="000000" w:fill="EBF1DE"/>
            <w:noWrap/>
            <w:vAlign w:val="center"/>
            <w:hideMark/>
          </w:tcPr>
          <w:p w14:paraId="0DEA4BBF" w14:textId="77777777" w:rsidR="00CB6E2D" w:rsidRPr="00CB6E2D" w:rsidRDefault="00CB6E2D" w:rsidP="00CB6E2D">
            <w:pPr>
              <w:spacing w:after="0" w:line="240" w:lineRule="auto"/>
              <w:rPr>
                <w:rFonts w:ascii="Calibri" w:eastAsia="Times New Roman" w:hAnsi="Calibri" w:cs="Calibri"/>
                <w:b/>
                <w:bCs/>
                <w:color w:val="000000"/>
                <w:kern w:val="0"/>
                <w:sz w:val="24"/>
                <w:szCs w:val="24"/>
                <w14:ligatures w14:val="none"/>
              </w:rPr>
            </w:pPr>
            <w:r w:rsidRPr="00CB6E2D">
              <w:rPr>
                <w:rFonts w:ascii="Calibri" w:eastAsia="Times New Roman" w:hAnsi="Calibri" w:cs="Calibri"/>
                <w:b/>
                <w:bCs/>
                <w:color w:val="000000"/>
                <w:kern w:val="0"/>
                <w:sz w:val="24"/>
                <w:szCs w:val="24"/>
                <w14:ligatures w14:val="none"/>
              </w:rPr>
              <w:t> </w:t>
            </w:r>
          </w:p>
        </w:tc>
        <w:tc>
          <w:tcPr>
            <w:tcW w:w="3105" w:type="dxa"/>
            <w:tcBorders>
              <w:top w:val="nil"/>
              <w:left w:val="nil"/>
              <w:bottom w:val="single" w:sz="4" w:space="0" w:color="auto"/>
              <w:right w:val="nil"/>
            </w:tcBorders>
            <w:shd w:val="clear" w:color="000000" w:fill="EBF1DE"/>
            <w:noWrap/>
            <w:vAlign w:val="center"/>
            <w:hideMark/>
          </w:tcPr>
          <w:p w14:paraId="7068A258" w14:textId="77777777" w:rsidR="00CB6E2D" w:rsidRPr="00CB6E2D" w:rsidRDefault="00CB6E2D" w:rsidP="00CB6E2D">
            <w:pPr>
              <w:spacing w:after="0" w:line="240" w:lineRule="auto"/>
              <w:rPr>
                <w:rFonts w:ascii="Calibri" w:eastAsia="Times New Roman" w:hAnsi="Calibri" w:cs="Calibri"/>
                <w:b/>
                <w:bCs/>
                <w:color w:val="000000"/>
                <w:kern w:val="0"/>
                <w:sz w:val="24"/>
                <w:szCs w:val="24"/>
                <w14:ligatures w14:val="none"/>
              </w:rPr>
            </w:pPr>
            <w:r w:rsidRPr="00CB6E2D">
              <w:rPr>
                <w:rFonts w:ascii="Calibri" w:eastAsia="Times New Roman" w:hAnsi="Calibri" w:cs="Calibri"/>
                <w:b/>
                <w:bCs/>
                <w:color w:val="000000"/>
                <w:kern w:val="0"/>
                <w:sz w:val="24"/>
                <w:szCs w:val="24"/>
                <w14:ligatures w14:val="none"/>
              </w:rPr>
              <w:t> </w:t>
            </w:r>
          </w:p>
        </w:tc>
      </w:tr>
      <w:tr w:rsidR="00F064AF" w:rsidRPr="00CB6E2D" w14:paraId="56C0F7BF" w14:textId="77777777" w:rsidTr="00F064AF">
        <w:trPr>
          <w:trHeight w:val="241"/>
        </w:trPr>
        <w:tc>
          <w:tcPr>
            <w:tcW w:w="1660" w:type="dxa"/>
            <w:tcBorders>
              <w:top w:val="nil"/>
              <w:left w:val="single" w:sz="4" w:space="0" w:color="auto"/>
              <w:bottom w:val="nil"/>
              <w:right w:val="nil"/>
            </w:tcBorders>
            <w:shd w:val="clear" w:color="000000" w:fill="EBF1DE"/>
            <w:noWrap/>
            <w:vAlign w:val="bottom"/>
            <w:hideMark/>
          </w:tcPr>
          <w:p w14:paraId="35053C7D" w14:textId="77777777" w:rsidR="00CB6E2D" w:rsidRPr="00CB6E2D" w:rsidRDefault="00CB6E2D" w:rsidP="00CB6E2D">
            <w:pPr>
              <w:spacing w:after="0" w:line="240" w:lineRule="auto"/>
              <w:rPr>
                <w:rFonts w:ascii="Calibri" w:eastAsia="Times New Roman" w:hAnsi="Calibri" w:cs="Calibri"/>
                <w:color w:val="000000"/>
                <w:kern w:val="0"/>
                <w14:ligatures w14:val="none"/>
              </w:rPr>
            </w:pPr>
            <w:r w:rsidRPr="00CB6E2D">
              <w:rPr>
                <w:rFonts w:ascii="Calibri" w:eastAsia="Times New Roman" w:hAnsi="Calibri" w:cs="Calibri"/>
                <w:color w:val="000000"/>
                <w:kern w:val="0"/>
                <w14:ligatures w14:val="none"/>
              </w:rPr>
              <w:t> </w:t>
            </w:r>
          </w:p>
        </w:tc>
        <w:tc>
          <w:tcPr>
            <w:tcW w:w="3632" w:type="dxa"/>
            <w:tcBorders>
              <w:top w:val="nil"/>
              <w:left w:val="nil"/>
              <w:bottom w:val="nil"/>
              <w:right w:val="nil"/>
            </w:tcBorders>
            <w:shd w:val="clear" w:color="000000" w:fill="EBF1DE"/>
            <w:noWrap/>
            <w:vAlign w:val="bottom"/>
            <w:hideMark/>
          </w:tcPr>
          <w:p w14:paraId="24EE6958" w14:textId="77777777" w:rsidR="00CB6E2D" w:rsidRPr="00CB6E2D" w:rsidRDefault="00CB6E2D" w:rsidP="00CB6E2D">
            <w:pPr>
              <w:spacing w:after="0" w:line="240" w:lineRule="auto"/>
              <w:rPr>
                <w:rFonts w:ascii="Calibri" w:eastAsia="Times New Roman" w:hAnsi="Calibri" w:cs="Calibri"/>
                <w:color w:val="000000"/>
                <w:kern w:val="0"/>
                <w14:ligatures w14:val="none"/>
              </w:rPr>
            </w:pPr>
            <w:r w:rsidRPr="00CB6E2D">
              <w:rPr>
                <w:rFonts w:ascii="Calibri" w:eastAsia="Times New Roman" w:hAnsi="Calibri" w:cs="Calibri"/>
                <w:color w:val="000000"/>
                <w:kern w:val="0"/>
                <w14:ligatures w14:val="none"/>
              </w:rPr>
              <w:t> </w:t>
            </w:r>
          </w:p>
        </w:tc>
        <w:tc>
          <w:tcPr>
            <w:tcW w:w="2735" w:type="dxa"/>
            <w:tcBorders>
              <w:top w:val="nil"/>
              <w:left w:val="nil"/>
              <w:bottom w:val="nil"/>
              <w:right w:val="nil"/>
            </w:tcBorders>
            <w:shd w:val="clear" w:color="000000" w:fill="EBF1DE"/>
            <w:noWrap/>
            <w:vAlign w:val="bottom"/>
            <w:hideMark/>
          </w:tcPr>
          <w:p w14:paraId="694C17F4" w14:textId="77777777" w:rsidR="00CB6E2D" w:rsidRPr="00CB6E2D" w:rsidRDefault="00CB6E2D" w:rsidP="00CB6E2D">
            <w:pPr>
              <w:spacing w:after="0" w:line="240" w:lineRule="auto"/>
              <w:rPr>
                <w:rFonts w:ascii="Calibri" w:eastAsia="Times New Roman" w:hAnsi="Calibri" w:cs="Calibri"/>
                <w:color w:val="000000"/>
                <w:kern w:val="0"/>
                <w14:ligatures w14:val="none"/>
              </w:rPr>
            </w:pPr>
            <w:r w:rsidRPr="00CB6E2D">
              <w:rPr>
                <w:rFonts w:ascii="Calibri" w:eastAsia="Times New Roman" w:hAnsi="Calibri" w:cs="Calibri"/>
                <w:color w:val="000000"/>
                <w:kern w:val="0"/>
                <w14:ligatures w14:val="none"/>
              </w:rPr>
              <w:t> </w:t>
            </w:r>
          </w:p>
        </w:tc>
        <w:tc>
          <w:tcPr>
            <w:tcW w:w="3105" w:type="dxa"/>
            <w:tcBorders>
              <w:top w:val="nil"/>
              <w:left w:val="nil"/>
              <w:bottom w:val="nil"/>
              <w:right w:val="nil"/>
            </w:tcBorders>
            <w:shd w:val="clear" w:color="000000" w:fill="EBF1DE"/>
            <w:noWrap/>
            <w:vAlign w:val="bottom"/>
            <w:hideMark/>
          </w:tcPr>
          <w:p w14:paraId="273FD451" w14:textId="77777777" w:rsidR="00CB6E2D" w:rsidRPr="00CB6E2D" w:rsidRDefault="00CB6E2D" w:rsidP="00CB6E2D">
            <w:pPr>
              <w:spacing w:after="0" w:line="240" w:lineRule="auto"/>
              <w:rPr>
                <w:rFonts w:ascii="Calibri" w:eastAsia="Times New Roman" w:hAnsi="Calibri" w:cs="Calibri"/>
                <w:color w:val="000000"/>
                <w:kern w:val="0"/>
                <w14:ligatures w14:val="none"/>
              </w:rPr>
            </w:pPr>
            <w:r w:rsidRPr="00CB6E2D">
              <w:rPr>
                <w:rFonts w:ascii="Calibri" w:eastAsia="Times New Roman" w:hAnsi="Calibri" w:cs="Calibri"/>
                <w:color w:val="000000"/>
                <w:kern w:val="0"/>
                <w14:ligatures w14:val="none"/>
              </w:rPr>
              <w:t> </w:t>
            </w:r>
          </w:p>
        </w:tc>
      </w:tr>
      <w:tr w:rsidR="00F064AF" w:rsidRPr="00CB6E2D" w14:paraId="2074F6D8" w14:textId="77777777" w:rsidTr="00F064AF">
        <w:trPr>
          <w:trHeight w:val="241"/>
        </w:trPr>
        <w:tc>
          <w:tcPr>
            <w:tcW w:w="1660" w:type="dxa"/>
            <w:tcBorders>
              <w:top w:val="nil"/>
              <w:left w:val="single" w:sz="4" w:space="0" w:color="auto"/>
              <w:bottom w:val="nil"/>
              <w:right w:val="nil"/>
            </w:tcBorders>
            <w:shd w:val="clear" w:color="000000" w:fill="EBF1DE"/>
            <w:noWrap/>
            <w:vAlign w:val="bottom"/>
            <w:hideMark/>
          </w:tcPr>
          <w:p w14:paraId="43ED4FCD" w14:textId="77777777" w:rsidR="00CB6E2D" w:rsidRPr="00CB6E2D" w:rsidRDefault="00CB6E2D" w:rsidP="00CB6E2D">
            <w:pPr>
              <w:spacing w:after="0" w:line="240" w:lineRule="auto"/>
              <w:rPr>
                <w:rFonts w:ascii="Calibri" w:eastAsia="Times New Roman" w:hAnsi="Calibri" w:cs="Calibri"/>
                <w:b/>
                <w:bCs/>
                <w:color w:val="000000"/>
                <w:kern w:val="0"/>
                <w14:ligatures w14:val="none"/>
              </w:rPr>
            </w:pPr>
            <w:r w:rsidRPr="00CB6E2D">
              <w:rPr>
                <w:rFonts w:ascii="Calibri" w:eastAsia="Times New Roman" w:hAnsi="Calibri" w:cs="Calibri"/>
                <w:b/>
                <w:bCs/>
                <w:color w:val="000000"/>
                <w:kern w:val="0"/>
                <w14:ligatures w14:val="none"/>
              </w:rPr>
              <w:t>Notes:</w:t>
            </w:r>
          </w:p>
        </w:tc>
        <w:tc>
          <w:tcPr>
            <w:tcW w:w="3632" w:type="dxa"/>
            <w:tcBorders>
              <w:top w:val="nil"/>
              <w:left w:val="nil"/>
              <w:bottom w:val="nil"/>
              <w:right w:val="nil"/>
            </w:tcBorders>
            <w:shd w:val="clear" w:color="000000" w:fill="EBF1DE"/>
            <w:noWrap/>
            <w:vAlign w:val="bottom"/>
            <w:hideMark/>
          </w:tcPr>
          <w:p w14:paraId="021B3728" w14:textId="77777777" w:rsidR="00CB6E2D" w:rsidRPr="00CB6E2D" w:rsidRDefault="00CB6E2D" w:rsidP="00CB6E2D">
            <w:pPr>
              <w:spacing w:after="0" w:line="240" w:lineRule="auto"/>
              <w:rPr>
                <w:rFonts w:ascii="Calibri" w:eastAsia="Times New Roman" w:hAnsi="Calibri" w:cs="Calibri"/>
                <w:color w:val="000000"/>
                <w:kern w:val="0"/>
                <w14:ligatures w14:val="none"/>
              </w:rPr>
            </w:pPr>
            <w:r w:rsidRPr="00CB6E2D">
              <w:rPr>
                <w:rFonts w:ascii="Calibri" w:eastAsia="Times New Roman" w:hAnsi="Calibri" w:cs="Calibri"/>
                <w:color w:val="000000"/>
                <w:kern w:val="0"/>
                <w14:ligatures w14:val="none"/>
              </w:rPr>
              <w:t> </w:t>
            </w:r>
          </w:p>
        </w:tc>
        <w:tc>
          <w:tcPr>
            <w:tcW w:w="2735" w:type="dxa"/>
            <w:tcBorders>
              <w:top w:val="nil"/>
              <w:left w:val="nil"/>
              <w:bottom w:val="nil"/>
              <w:right w:val="nil"/>
            </w:tcBorders>
            <w:shd w:val="clear" w:color="000000" w:fill="EBF1DE"/>
            <w:noWrap/>
            <w:vAlign w:val="bottom"/>
            <w:hideMark/>
          </w:tcPr>
          <w:p w14:paraId="691F982D" w14:textId="77777777" w:rsidR="00CB6E2D" w:rsidRPr="00CB6E2D" w:rsidRDefault="00CB6E2D" w:rsidP="00CB6E2D">
            <w:pPr>
              <w:spacing w:after="0" w:line="240" w:lineRule="auto"/>
              <w:rPr>
                <w:rFonts w:ascii="Calibri" w:eastAsia="Times New Roman" w:hAnsi="Calibri" w:cs="Calibri"/>
                <w:color w:val="000000"/>
                <w:kern w:val="0"/>
                <w14:ligatures w14:val="none"/>
              </w:rPr>
            </w:pPr>
            <w:r w:rsidRPr="00CB6E2D">
              <w:rPr>
                <w:rFonts w:ascii="Calibri" w:eastAsia="Times New Roman" w:hAnsi="Calibri" w:cs="Calibri"/>
                <w:color w:val="000000"/>
                <w:kern w:val="0"/>
                <w14:ligatures w14:val="none"/>
              </w:rPr>
              <w:t> </w:t>
            </w:r>
          </w:p>
        </w:tc>
        <w:tc>
          <w:tcPr>
            <w:tcW w:w="3105" w:type="dxa"/>
            <w:tcBorders>
              <w:top w:val="nil"/>
              <w:left w:val="nil"/>
              <w:bottom w:val="nil"/>
              <w:right w:val="nil"/>
            </w:tcBorders>
            <w:shd w:val="clear" w:color="000000" w:fill="EBF1DE"/>
            <w:noWrap/>
            <w:vAlign w:val="bottom"/>
            <w:hideMark/>
          </w:tcPr>
          <w:p w14:paraId="7C1DDB5A" w14:textId="77777777" w:rsidR="00CB6E2D" w:rsidRPr="00CB6E2D" w:rsidRDefault="00CB6E2D" w:rsidP="00CB6E2D">
            <w:pPr>
              <w:spacing w:after="0" w:line="240" w:lineRule="auto"/>
              <w:rPr>
                <w:rFonts w:ascii="Calibri" w:eastAsia="Times New Roman" w:hAnsi="Calibri" w:cs="Calibri"/>
                <w:color w:val="000000"/>
                <w:kern w:val="0"/>
                <w14:ligatures w14:val="none"/>
              </w:rPr>
            </w:pPr>
            <w:r w:rsidRPr="00CB6E2D">
              <w:rPr>
                <w:rFonts w:ascii="Calibri" w:eastAsia="Times New Roman" w:hAnsi="Calibri" w:cs="Calibri"/>
                <w:color w:val="000000"/>
                <w:kern w:val="0"/>
                <w14:ligatures w14:val="none"/>
              </w:rPr>
              <w:t> </w:t>
            </w:r>
          </w:p>
        </w:tc>
      </w:tr>
      <w:tr w:rsidR="00CB6E2D" w:rsidRPr="00CB6E2D" w14:paraId="3E1CF1E6" w14:textId="77777777" w:rsidTr="00F064AF">
        <w:trPr>
          <w:trHeight w:val="241"/>
        </w:trPr>
        <w:tc>
          <w:tcPr>
            <w:tcW w:w="8027" w:type="dxa"/>
            <w:gridSpan w:val="3"/>
            <w:tcBorders>
              <w:top w:val="nil"/>
              <w:left w:val="single" w:sz="4" w:space="0" w:color="auto"/>
              <w:bottom w:val="nil"/>
              <w:right w:val="nil"/>
            </w:tcBorders>
            <w:shd w:val="clear" w:color="000000" w:fill="EBF1DE"/>
            <w:noWrap/>
            <w:vAlign w:val="bottom"/>
            <w:hideMark/>
          </w:tcPr>
          <w:p w14:paraId="422E8CB8" w14:textId="77777777" w:rsidR="00CB6E2D" w:rsidRPr="00CB6E2D" w:rsidRDefault="00CB6E2D" w:rsidP="00CB6E2D">
            <w:pPr>
              <w:spacing w:after="0" w:line="240" w:lineRule="auto"/>
              <w:rPr>
                <w:rFonts w:ascii="Calibri" w:eastAsia="Times New Roman" w:hAnsi="Calibri" w:cs="Calibri"/>
                <w:color w:val="000000"/>
                <w:kern w:val="0"/>
                <w14:ligatures w14:val="none"/>
              </w:rPr>
            </w:pPr>
            <w:r w:rsidRPr="00CB6E2D">
              <w:rPr>
                <w:rFonts w:ascii="Calibri" w:eastAsia="Times New Roman" w:hAnsi="Calibri" w:cs="Calibri"/>
                <w:color w:val="000000"/>
                <w:kern w:val="0"/>
                <w14:ligatures w14:val="none"/>
              </w:rPr>
              <w:t>Prices shall include all applicable taxes and fees.</w:t>
            </w:r>
          </w:p>
        </w:tc>
        <w:tc>
          <w:tcPr>
            <w:tcW w:w="3105" w:type="dxa"/>
            <w:tcBorders>
              <w:top w:val="nil"/>
              <w:left w:val="nil"/>
              <w:bottom w:val="nil"/>
              <w:right w:val="nil"/>
            </w:tcBorders>
            <w:shd w:val="clear" w:color="000000" w:fill="EBF1DE"/>
            <w:noWrap/>
            <w:vAlign w:val="bottom"/>
            <w:hideMark/>
          </w:tcPr>
          <w:p w14:paraId="0ED936EE" w14:textId="77777777" w:rsidR="00CB6E2D" w:rsidRPr="00CB6E2D" w:rsidRDefault="00CB6E2D" w:rsidP="00CB6E2D">
            <w:pPr>
              <w:spacing w:after="0" w:line="240" w:lineRule="auto"/>
              <w:rPr>
                <w:rFonts w:ascii="Calibri" w:eastAsia="Times New Roman" w:hAnsi="Calibri" w:cs="Calibri"/>
                <w:b/>
                <w:bCs/>
                <w:color w:val="000000"/>
                <w:kern w:val="0"/>
                <w14:ligatures w14:val="none"/>
              </w:rPr>
            </w:pPr>
            <w:r w:rsidRPr="00CB6E2D">
              <w:rPr>
                <w:rFonts w:ascii="Calibri" w:eastAsia="Times New Roman" w:hAnsi="Calibri" w:cs="Calibri"/>
                <w:b/>
                <w:bCs/>
                <w:color w:val="000000"/>
                <w:kern w:val="0"/>
                <w14:ligatures w14:val="none"/>
              </w:rPr>
              <w:t> </w:t>
            </w:r>
          </w:p>
        </w:tc>
      </w:tr>
      <w:tr w:rsidR="00CB6E2D" w:rsidRPr="00CB6E2D" w14:paraId="6FCB1EF6" w14:textId="77777777" w:rsidTr="00F064AF">
        <w:trPr>
          <w:trHeight w:val="241"/>
        </w:trPr>
        <w:tc>
          <w:tcPr>
            <w:tcW w:w="11132" w:type="dxa"/>
            <w:gridSpan w:val="4"/>
            <w:tcBorders>
              <w:top w:val="nil"/>
              <w:left w:val="single" w:sz="4" w:space="0" w:color="auto"/>
              <w:bottom w:val="nil"/>
              <w:right w:val="nil"/>
            </w:tcBorders>
            <w:shd w:val="clear" w:color="000000" w:fill="EBF1DE"/>
            <w:noWrap/>
            <w:vAlign w:val="bottom"/>
            <w:hideMark/>
          </w:tcPr>
          <w:p w14:paraId="7778C930" w14:textId="77777777" w:rsidR="00CB6E2D" w:rsidRPr="00CB6E2D" w:rsidRDefault="00CB6E2D" w:rsidP="00CB6E2D">
            <w:pPr>
              <w:spacing w:after="0" w:line="240" w:lineRule="auto"/>
              <w:rPr>
                <w:rFonts w:ascii="Calibri" w:eastAsia="Times New Roman" w:hAnsi="Calibri" w:cs="Calibri"/>
                <w:color w:val="000000"/>
                <w:kern w:val="0"/>
                <w14:ligatures w14:val="none"/>
              </w:rPr>
            </w:pPr>
            <w:r w:rsidRPr="00CB6E2D">
              <w:rPr>
                <w:rFonts w:ascii="Calibri" w:eastAsia="Times New Roman" w:hAnsi="Calibri" w:cs="Calibri"/>
                <w:color w:val="000000"/>
                <w:kern w:val="0"/>
                <w14:ligatures w14:val="none"/>
              </w:rPr>
              <w:t>Delivery Basis: DAP plus customs clearance, West Qurna-2, The Republic of Iraq.</w:t>
            </w:r>
          </w:p>
        </w:tc>
      </w:tr>
      <w:tr w:rsidR="00F064AF" w:rsidRPr="00CB6E2D" w14:paraId="0BCE4BB7" w14:textId="77777777" w:rsidTr="00F064AF">
        <w:trPr>
          <w:trHeight w:val="241"/>
        </w:trPr>
        <w:tc>
          <w:tcPr>
            <w:tcW w:w="1660" w:type="dxa"/>
            <w:tcBorders>
              <w:top w:val="nil"/>
              <w:left w:val="single" w:sz="4" w:space="0" w:color="auto"/>
              <w:bottom w:val="nil"/>
              <w:right w:val="nil"/>
            </w:tcBorders>
            <w:shd w:val="clear" w:color="000000" w:fill="EBF1DE"/>
            <w:noWrap/>
            <w:vAlign w:val="bottom"/>
            <w:hideMark/>
          </w:tcPr>
          <w:p w14:paraId="5E6FAC31" w14:textId="77777777" w:rsidR="00CB6E2D" w:rsidRPr="00CB6E2D" w:rsidRDefault="00CB6E2D" w:rsidP="00CB6E2D">
            <w:pPr>
              <w:spacing w:after="0" w:line="240" w:lineRule="auto"/>
              <w:rPr>
                <w:rFonts w:ascii="Calibri" w:eastAsia="Times New Roman" w:hAnsi="Calibri" w:cs="Calibri"/>
                <w:b/>
                <w:bCs/>
                <w:color w:val="000000"/>
                <w:kern w:val="0"/>
                <w14:ligatures w14:val="none"/>
              </w:rPr>
            </w:pPr>
            <w:r w:rsidRPr="00CB6E2D">
              <w:rPr>
                <w:rFonts w:ascii="Calibri" w:eastAsia="Times New Roman" w:hAnsi="Calibri" w:cs="Calibri"/>
                <w:b/>
                <w:bCs/>
                <w:color w:val="000000"/>
                <w:kern w:val="0"/>
                <w14:ligatures w14:val="none"/>
              </w:rPr>
              <w:t> </w:t>
            </w:r>
          </w:p>
        </w:tc>
        <w:tc>
          <w:tcPr>
            <w:tcW w:w="3632" w:type="dxa"/>
            <w:tcBorders>
              <w:top w:val="nil"/>
              <w:left w:val="nil"/>
              <w:bottom w:val="nil"/>
              <w:right w:val="nil"/>
            </w:tcBorders>
            <w:shd w:val="clear" w:color="000000" w:fill="EBF1DE"/>
            <w:noWrap/>
            <w:vAlign w:val="bottom"/>
            <w:hideMark/>
          </w:tcPr>
          <w:p w14:paraId="7D2DB222" w14:textId="77777777" w:rsidR="00CB6E2D" w:rsidRPr="00CB6E2D" w:rsidRDefault="00CB6E2D" w:rsidP="00CB6E2D">
            <w:pPr>
              <w:spacing w:after="0" w:line="240" w:lineRule="auto"/>
              <w:rPr>
                <w:rFonts w:ascii="Calibri" w:eastAsia="Times New Roman" w:hAnsi="Calibri" w:cs="Calibri"/>
                <w:b/>
                <w:bCs/>
                <w:color w:val="000000"/>
                <w:kern w:val="0"/>
                <w14:ligatures w14:val="none"/>
              </w:rPr>
            </w:pPr>
            <w:r w:rsidRPr="00CB6E2D">
              <w:rPr>
                <w:rFonts w:ascii="Calibri" w:eastAsia="Times New Roman" w:hAnsi="Calibri" w:cs="Calibri"/>
                <w:b/>
                <w:bCs/>
                <w:color w:val="000000"/>
                <w:kern w:val="0"/>
                <w14:ligatures w14:val="none"/>
              </w:rPr>
              <w:t> </w:t>
            </w:r>
          </w:p>
        </w:tc>
        <w:tc>
          <w:tcPr>
            <w:tcW w:w="2735" w:type="dxa"/>
            <w:tcBorders>
              <w:top w:val="nil"/>
              <w:left w:val="nil"/>
              <w:bottom w:val="nil"/>
              <w:right w:val="nil"/>
            </w:tcBorders>
            <w:shd w:val="clear" w:color="000000" w:fill="EBF1DE"/>
            <w:noWrap/>
            <w:vAlign w:val="bottom"/>
            <w:hideMark/>
          </w:tcPr>
          <w:p w14:paraId="5D17B67D" w14:textId="77777777" w:rsidR="00CB6E2D" w:rsidRPr="00CB6E2D" w:rsidRDefault="00CB6E2D" w:rsidP="00CB6E2D">
            <w:pPr>
              <w:spacing w:after="0" w:line="240" w:lineRule="auto"/>
              <w:rPr>
                <w:rFonts w:ascii="Calibri" w:eastAsia="Times New Roman" w:hAnsi="Calibri" w:cs="Calibri"/>
                <w:b/>
                <w:bCs/>
                <w:color w:val="000000"/>
                <w:kern w:val="0"/>
                <w14:ligatures w14:val="none"/>
              </w:rPr>
            </w:pPr>
            <w:r w:rsidRPr="00CB6E2D">
              <w:rPr>
                <w:rFonts w:ascii="Calibri" w:eastAsia="Times New Roman" w:hAnsi="Calibri" w:cs="Calibri"/>
                <w:b/>
                <w:bCs/>
                <w:color w:val="000000"/>
                <w:kern w:val="0"/>
                <w14:ligatures w14:val="none"/>
              </w:rPr>
              <w:t> </w:t>
            </w:r>
          </w:p>
        </w:tc>
        <w:tc>
          <w:tcPr>
            <w:tcW w:w="3105" w:type="dxa"/>
            <w:tcBorders>
              <w:top w:val="nil"/>
              <w:left w:val="nil"/>
              <w:bottom w:val="nil"/>
              <w:right w:val="nil"/>
            </w:tcBorders>
            <w:shd w:val="clear" w:color="000000" w:fill="EBF1DE"/>
            <w:noWrap/>
            <w:vAlign w:val="bottom"/>
            <w:hideMark/>
          </w:tcPr>
          <w:p w14:paraId="71C0C83A" w14:textId="77777777" w:rsidR="00CB6E2D" w:rsidRPr="00CB6E2D" w:rsidRDefault="00CB6E2D" w:rsidP="00CB6E2D">
            <w:pPr>
              <w:spacing w:after="0" w:line="240" w:lineRule="auto"/>
              <w:rPr>
                <w:rFonts w:ascii="Calibri" w:eastAsia="Times New Roman" w:hAnsi="Calibri" w:cs="Calibri"/>
                <w:b/>
                <w:bCs/>
                <w:color w:val="000000"/>
                <w:kern w:val="0"/>
                <w14:ligatures w14:val="none"/>
              </w:rPr>
            </w:pPr>
            <w:r w:rsidRPr="00CB6E2D">
              <w:rPr>
                <w:rFonts w:ascii="Calibri" w:eastAsia="Times New Roman" w:hAnsi="Calibri" w:cs="Calibri"/>
                <w:b/>
                <w:bCs/>
                <w:color w:val="000000"/>
                <w:kern w:val="0"/>
                <w14:ligatures w14:val="none"/>
              </w:rPr>
              <w:t> </w:t>
            </w:r>
          </w:p>
        </w:tc>
      </w:tr>
      <w:tr w:rsidR="00CB6E2D" w:rsidRPr="00CB6E2D" w14:paraId="7438345D" w14:textId="77777777" w:rsidTr="00F064AF">
        <w:trPr>
          <w:trHeight w:val="241"/>
        </w:trPr>
        <w:tc>
          <w:tcPr>
            <w:tcW w:w="11132" w:type="dxa"/>
            <w:gridSpan w:val="4"/>
            <w:tcBorders>
              <w:top w:val="nil"/>
              <w:left w:val="single" w:sz="4" w:space="0" w:color="auto"/>
              <w:bottom w:val="nil"/>
              <w:right w:val="nil"/>
            </w:tcBorders>
            <w:shd w:val="clear" w:color="000000" w:fill="EBF1DE"/>
            <w:hideMark/>
          </w:tcPr>
          <w:p w14:paraId="043B5BAA" w14:textId="77777777" w:rsidR="00CB6E2D" w:rsidRPr="00CB6E2D" w:rsidRDefault="00CB6E2D" w:rsidP="00CB6E2D">
            <w:pPr>
              <w:spacing w:after="240" w:line="240" w:lineRule="auto"/>
              <w:rPr>
                <w:rFonts w:ascii="Calibri" w:eastAsia="Times New Roman" w:hAnsi="Calibri" w:cs="Calibri"/>
                <w:b/>
                <w:bCs/>
                <w:color w:val="000000"/>
                <w:kern w:val="0"/>
                <w14:ligatures w14:val="none"/>
              </w:rPr>
            </w:pPr>
            <w:r w:rsidRPr="00CB6E2D">
              <w:rPr>
                <w:rFonts w:ascii="Calibri" w:eastAsia="Times New Roman" w:hAnsi="Calibri" w:cs="Calibri"/>
                <w:b/>
                <w:bCs/>
                <w:color w:val="000000"/>
                <w:kern w:val="0"/>
                <w14:ligatures w14:val="none"/>
              </w:rPr>
              <w:t>3. Questionnaire</w:t>
            </w:r>
          </w:p>
        </w:tc>
      </w:tr>
      <w:tr w:rsidR="00CB6E2D" w:rsidRPr="00CB6E2D" w14:paraId="257F435B" w14:textId="77777777" w:rsidTr="00F064AF">
        <w:trPr>
          <w:trHeight w:val="241"/>
        </w:trPr>
        <w:tc>
          <w:tcPr>
            <w:tcW w:w="8027" w:type="dxa"/>
            <w:gridSpan w:val="3"/>
            <w:tcBorders>
              <w:top w:val="nil"/>
              <w:left w:val="single" w:sz="4" w:space="0" w:color="auto"/>
              <w:bottom w:val="single" w:sz="4" w:space="0" w:color="auto"/>
              <w:right w:val="nil"/>
            </w:tcBorders>
            <w:shd w:val="clear" w:color="000000" w:fill="EBF1DE"/>
            <w:noWrap/>
            <w:vAlign w:val="bottom"/>
            <w:hideMark/>
          </w:tcPr>
          <w:p w14:paraId="2B3DC90D" w14:textId="77777777" w:rsidR="00CB6E2D" w:rsidRPr="00CB6E2D" w:rsidRDefault="00CB6E2D" w:rsidP="00CB6E2D">
            <w:pPr>
              <w:spacing w:after="0" w:line="240" w:lineRule="auto"/>
              <w:rPr>
                <w:rFonts w:ascii="Calibri" w:eastAsia="Times New Roman" w:hAnsi="Calibri" w:cs="Calibri"/>
                <w:color w:val="000000"/>
                <w:kern w:val="0"/>
                <w14:ligatures w14:val="none"/>
              </w:rPr>
            </w:pPr>
            <w:r w:rsidRPr="00CB6E2D">
              <w:rPr>
                <w:rFonts w:ascii="Calibri" w:eastAsia="Times New Roman" w:hAnsi="Calibri" w:cs="Calibri"/>
                <w:color w:val="000000"/>
                <w:kern w:val="0"/>
                <w14:ligatures w14:val="none"/>
              </w:rPr>
              <w:t xml:space="preserve">Please indicate delivery period in calendar days. </w:t>
            </w:r>
          </w:p>
        </w:tc>
        <w:tc>
          <w:tcPr>
            <w:tcW w:w="3105" w:type="dxa"/>
            <w:tcBorders>
              <w:top w:val="nil"/>
              <w:left w:val="nil"/>
              <w:bottom w:val="single" w:sz="4" w:space="0" w:color="auto"/>
              <w:right w:val="nil"/>
            </w:tcBorders>
            <w:shd w:val="clear" w:color="000000" w:fill="EBF1DE"/>
            <w:noWrap/>
            <w:vAlign w:val="bottom"/>
            <w:hideMark/>
          </w:tcPr>
          <w:p w14:paraId="7C56B589" w14:textId="77777777" w:rsidR="00CB6E2D" w:rsidRPr="00CB6E2D" w:rsidRDefault="00CB6E2D" w:rsidP="00CB6E2D">
            <w:pPr>
              <w:spacing w:after="0" w:line="240" w:lineRule="auto"/>
              <w:rPr>
                <w:rFonts w:ascii="Calibri" w:eastAsia="Times New Roman" w:hAnsi="Calibri" w:cs="Calibri"/>
                <w:color w:val="000000"/>
                <w:kern w:val="0"/>
                <w14:ligatures w14:val="none"/>
              </w:rPr>
            </w:pPr>
            <w:r w:rsidRPr="00CB6E2D">
              <w:rPr>
                <w:rFonts w:ascii="Calibri" w:eastAsia="Times New Roman" w:hAnsi="Calibri" w:cs="Calibri"/>
                <w:color w:val="000000"/>
                <w:kern w:val="0"/>
                <w14:ligatures w14:val="none"/>
              </w:rPr>
              <w:t> </w:t>
            </w:r>
          </w:p>
        </w:tc>
      </w:tr>
    </w:tbl>
    <w:p w14:paraId="6052E322" w14:textId="77777777" w:rsidR="00593B10" w:rsidRPr="00ED6AB4" w:rsidRDefault="00593B10"/>
    <w:sectPr w:rsidR="00593B10" w:rsidRPr="00ED6A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7DC41" w14:textId="77777777" w:rsidR="00EE75C0" w:rsidRDefault="00EE75C0" w:rsidP="00ED6AB4">
      <w:pPr>
        <w:spacing w:after="0" w:line="240" w:lineRule="auto"/>
      </w:pPr>
      <w:r>
        <w:separator/>
      </w:r>
    </w:p>
  </w:endnote>
  <w:endnote w:type="continuationSeparator" w:id="0">
    <w:p w14:paraId="36493687" w14:textId="77777777" w:rsidR="00EE75C0" w:rsidRDefault="00EE75C0" w:rsidP="00ED6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D6D7F" w14:textId="77777777" w:rsidR="00EE75C0" w:rsidRDefault="00EE75C0" w:rsidP="00ED6AB4">
      <w:pPr>
        <w:spacing w:after="0" w:line="240" w:lineRule="auto"/>
      </w:pPr>
      <w:r>
        <w:separator/>
      </w:r>
    </w:p>
  </w:footnote>
  <w:footnote w:type="continuationSeparator" w:id="0">
    <w:p w14:paraId="10DDD154" w14:textId="77777777" w:rsidR="00EE75C0" w:rsidRDefault="00EE75C0" w:rsidP="00ED6AB4">
      <w:pPr>
        <w:spacing w:after="0" w:line="240" w:lineRule="auto"/>
      </w:pPr>
      <w:r>
        <w:continuationSeparator/>
      </w:r>
    </w:p>
  </w:footnote>
  <w:footnote w:id="1">
    <w:p w14:paraId="5FB56CAC" w14:textId="68908067" w:rsidR="00ED6AB4" w:rsidRPr="00841AF5" w:rsidRDefault="00ED6AB4" w:rsidP="00ED6AB4">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7B1"/>
    <w:multiLevelType w:val="hybridMultilevel"/>
    <w:tmpl w:val="4978F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22F6294"/>
    <w:multiLevelType w:val="multilevel"/>
    <w:tmpl w:val="ECC28820"/>
    <w:lvl w:ilvl="0">
      <w:start w:val="1"/>
      <w:numFmt w:val="decimal"/>
      <w:lvlText w:val="%1."/>
      <w:lvlJc w:val="left"/>
      <w:pPr>
        <w:ind w:left="720" w:hanging="360"/>
      </w:pPr>
      <w:rPr>
        <w:rFonts w:hint="default"/>
      </w:rPr>
    </w:lvl>
    <w:lvl w:ilvl="1">
      <w:start w:val="1"/>
      <w:numFmt w:val="decimal"/>
      <w:lvlText w:val="%1.%2"/>
      <w:lvlJc w:val="left"/>
      <w:pPr>
        <w:ind w:left="2160" w:hanging="360"/>
      </w:pPr>
      <w:rPr>
        <w:rFonts w:eastAsia="SimSun" w:cs="Simplified Arabic" w:hint="default"/>
      </w:rPr>
    </w:lvl>
    <w:lvl w:ilvl="2">
      <w:start w:val="1"/>
      <w:numFmt w:val="decimal"/>
      <w:lvlText w:val="%1.%2.%3"/>
      <w:lvlJc w:val="left"/>
      <w:pPr>
        <w:ind w:left="3960" w:hanging="720"/>
      </w:pPr>
      <w:rPr>
        <w:rFonts w:eastAsia="SimSun" w:cs="Simplified Arabic" w:hint="default"/>
      </w:rPr>
    </w:lvl>
    <w:lvl w:ilvl="3">
      <w:start w:val="1"/>
      <w:numFmt w:val="decimal"/>
      <w:lvlText w:val="%1.%2.%3.%4"/>
      <w:lvlJc w:val="left"/>
      <w:pPr>
        <w:ind w:left="5400" w:hanging="720"/>
      </w:pPr>
      <w:rPr>
        <w:rFonts w:eastAsia="SimSun" w:cs="Simplified Arabic" w:hint="default"/>
      </w:rPr>
    </w:lvl>
    <w:lvl w:ilvl="4">
      <w:start w:val="1"/>
      <w:numFmt w:val="decimal"/>
      <w:lvlText w:val="%1.%2.%3.%4.%5"/>
      <w:lvlJc w:val="left"/>
      <w:pPr>
        <w:ind w:left="7200" w:hanging="1080"/>
      </w:pPr>
      <w:rPr>
        <w:rFonts w:eastAsia="SimSun" w:cs="Simplified Arabic" w:hint="default"/>
      </w:rPr>
    </w:lvl>
    <w:lvl w:ilvl="5">
      <w:start w:val="1"/>
      <w:numFmt w:val="decimal"/>
      <w:lvlText w:val="%1.%2.%3.%4.%5.%6"/>
      <w:lvlJc w:val="left"/>
      <w:pPr>
        <w:ind w:left="8640" w:hanging="1080"/>
      </w:pPr>
      <w:rPr>
        <w:rFonts w:eastAsia="SimSun" w:cs="Simplified Arabic" w:hint="default"/>
      </w:rPr>
    </w:lvl>
    <w:lvl w:ilvl="6">
      <w:start w:val="1"/>
      <w:numFmt w:val="decimal"/>
      <w:lvlText w:val="%1.%2.%3.%4.%5.%6.%7"/>
      <w:lvlJc w:val="left"/>
      <w:pPr>
        <w:ind w:left="10440" w:hanging="1440"/>
      </w:pPr>
      <w:rPr>
        <w:rFonts w:eastAsia="SimSun" w:cs="Simplified Arabic" w:hint="default"/>
      </w:rPr>
    </w:lvl>
    <w:lvl w:ilvl="7">
      <w:start w:val="1"/>
      <w:numFmt w:val="decimal"/>
      <w:lvlText w:val="%1.%2.%3.%4.%5.%6.%7.%8"/>
      <w:lvlJc w:val="left"/>
      <w:pPr>
        <w:ind w:left="11880" w:hanging="1440"/>
      </w:pPr>
      <w:rPr>
        <w:rFonts w:eastAsia="SimSun" w:cs="Simplified Arabic" w:hint="default"/>
      </w:rPr>
    </w:lvl>
    <w:lvl w:ilvl="8">
      <w:start w:val="1"/>
      <w:numFmt w:val="decimal"/>
      <w:lvlText w:val="%1.%2.%3.%4.%5.%6.%7.%8.%9"/>
      <w:lvlJc w:val="left"/>
      <w:pPr>
        <w:ind w:left="13680" w:hanging="1800"/>
      </w:pPr>
      <w:rPr>
        <w:rFonts w:eastAsia="SimSun" w:cs="Simplified Arabic" w:hint="default"/>
      </w:rPr>
    </w:lvl>
  </w:abstractNum>
  <w:abstractNum w:abstractNumId="2" w15:restartNumberingAfterBreak="0">
    <w:nsid w:val="34D0439A"/>
    <w:multiLevelType w:val="hybridMultilevel"/>
    <w:tmpl w:val="38E2A87E"/>
    <w:lvl w:ilvl="0" w:tplc="04090001">
      <w:numFmt w:val="bullet"/>
      <w:lvlText w:val="-"/>
      <w:lvlJc w:val="left"/>
      <w:pPr>
        <w:ind w:left="720" w:hanging="360"/>
      </w:pPr>
      <w:rPr>
        <w:rFonts w:ascii="Calibri" w:eastAsiaTheme="minorHAnsi" w:hAnsi="Calibri" w:cstheme="minorBidi"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C083C27"/>
    <w:multiLevelType w:val="multilevel"/>
    <w:tmpl w:val="27DA3E5A"/>
    <w:lvl w:ilvl="0">
      <w:start w:val="1"/>
      <w:numFmt w:val="decimal"/>
      <w:lvlText w:val="%1."/>
      <w:lvlJc w:val="left"/>
      <w:pPr>
        <w:ind w:left="360" w:hanging="360"/>
      </w:p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51656B0"/>
    <w:multiLevelType w:val="hybridMultilevel"/>
    <w:tmpl w:val="DE9CB064"/>
    <w:lvl w:ilvl="0" w:tplc="D4FE8A82">
      <w:start w:val="3"/>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92632BD"/>
    <w:multiLevelType w:val="hybridMultilevel"/>
    <w:tmpl w:val="83A6F532"/>
    <w:lvl w:ilvl="0" w:tplc="71486024">
      <w:start w:val="10"/>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FF1B25"/>
    <w:multiLevelType w:val="hybridMultilevel"/>
    <w:tmpl w:val="9A3A37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597DC0"/>
    <w:multiLevelType w:val="hybridMultilevel"/>
    <w:tmpl w:val="00CE1C98"/>
    <w:lvl w:ilvl="0" w:tplc="D4FE8A82">
      <w:start w:val="3"/>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9D23437"/>
    <w:multiLevelType w:val="multilevel"/>
    <w:tmpl w:val="27DA3E5A"/>
    <w:lvl w:ilvl="0">
      <w:start w:val="1"/>
      <w:numFmt w:val="decimal"/>
      <w:lvlText w:val="%1."/>
      <w:lvlJc w:val="left"/>
      <w:pPr>
        <w:ind w:left="360" w:hanging="360"/>
      </w:p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E0A27D4"/>
    <w:multiLevelType w:val="hybridMultilevel"/>
    <w:tmpl w:val="57B63F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num w:numId="1">
    <w:abstractNumId w:val="4"/>
  </w:num>
  <w:num w:numId="2">
    <w:abstractNumId w:val="1"/>
  </w:num>
  <w:num w:numId="3">
    <w:abstractNumId w:val="6"/>
  </w:num>
  <w:num w:numId="4">
    <w:abstractNumId w:val="2"/>
  </w:num>
  <w:num w:numId="5">
    <w:abstractNumId w:val="8"/>
  </w:num>
  <w:num w:numId="6">
    <w:abstractNumId w:val="3"/>
  </w:num>
  <w:num w:numId="7">
    <w:abstractNumId w:val="5"/>
  </w:num>
  <w:num w:numId="8">
    <w:abstractNumId w:val="7"/>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A2E"/>
    <w:rsid w:val="0002317B"/>
    <w:rsid w:val="0009470B"/>
    <w:rsid w:val="000A204B"/>
    <w:rsid w:val="0019543F"/>
    <w:rsid w:val="002179F1"/>
    <w:rsid w:val="003660B3"/>
    <w:rsid w:val="003C4162"/>
    <w:rsid w:val="004239FC"/>
    <w:rsid w:val="00587763"/>
    <w:rsid w:val="00593B10"/>
    <w:rsid w:val="006625C6"/>
    <w:rsid w:val="0066479E"/>
    <w:rsid w:val="006A5A2E"/>
    <w:rsid w:val="006C4981"/>
    <w:rsid w:val="00727FD7"/>
    <w:rsid w:val="00812867"/>
    <w:rsid w:val="00816AEA"/>
    <w:rsid w:val="008A340F"/>
    <w:rsid w:val="008A6287"/>
    <w:rsid w:val="00910D01"/>
    <w:rsid w:val="009301F2"/>
    <w:rsid w:val="009B0186"/>
    <w:rsid w:val="00A35A69"/>
    <w:rsid w:val="00A43B07"/>
    <w:rsid w:val="00AC6BF5"/>
    <w:rsid w:val="00AF21DE"/>
    <w:rsid w:val="00BA04C6"/>
    <w:rsid w:val="00C74BC3"/>
    <w:rsid w:val="00CB6E2D"/>
    <w:rsid w:val="00DD6A2C"/>
    <w:rsid w:val="00E03E5C"/>
    <w:rsid w:val="00ED6AB4"/>
    <w:rsid w:val="00EE75C0"/>
    <w:rsid w:val="00F064AF"/>
    <w:rsid w:val="00FA32FF"/>
    <w:rsid w:val="00FB544C"/>
    <w:rsid w:val="00FC14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1B876"/>
  <w15:chartTrackingRefBased/>
  <w15:docId w15:val="{71B7D347-8114-4047-BA25-5F3ACAFE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A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A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A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A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A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A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A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A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A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A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A2E"/>
    <w:rPr>
      <w:rFonts w:eastAsiaTheme="majorEastAsia" w:cstheme="majorBidi"/>
      <w:color w:val="272727" w:themeColor="text1" w:themeTint="D8"/>
    </w:rPr>
  </w:style>
  <w:style w:type="paragraph" w:styleId="Title">
    <w:name w:val="Title"/>
    <w:basedOn w:val="Normal"/>
    <w:next w:val="Normal"/>
    <w:link w:val="TitleChar"/>
    <w:uiPriority w:val="10"/>
    <w:qFormat/>
    <w:rsid w:val="006A5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A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A2E"/>
    <w:pPr>
      <w:spacing w:before="160"/>
      <w:jc w:val="center"/>
    </w:pPr>
    <w:rPr>
      <w:i/>
      <w:iCs/>
      <w:color w:val="404040" w:themeColor="text1" w:themeTint="BF"/>
    </w:rPr>
  </w:style>
  <w:style w:type="character" w:customStyle="1" w:styleId="QuoteChar">
    <w:name w:val="Quote Char"/>
    <w:basedOn w:val="DefaultParagraphFont"/>
    <w:link w:val="Quote"/>
    <w:uiPriority w:val="29"/>
    <w:rsid w:val="006A5A2E"/>
    <w:rPr>
      <w:i/>
      <w:iCs/>
      <w:color w:val="404040" w:themeColor="text1" w:themeTint="BF"/>
    </w:rPr>
  </w:style>
  <w:style w:type="paragraph" w:styleId="ListParagraph">
    <w:name w:val="List Paragraph"/>
    <w:aliases w:val="lp1,List Paragraph1,List Paragraph11,Use Case List Paragraph Char,List Paragraph Char Char,SGLText List Paragraph,Normal Sentence,Colorful List - Accent 11,Bullet List,FooterText,numbered,Paragraphe de liste1,Bulleted Text,Aacao nienea"/>
    <w:basedOn w:val="Normal"/>
    <w:link w:val="ListParagraphChar"/>
    <w:uiPriority w:val="34"/>
    <w:qFormat/>
    <w:rsid w:val="006A5A2E"/>
    <w:pPr>
      <w:ind w:left="720"/>
      <w:contextualSpacing/>
    </w:pPr>
  </w:style>
  <w:style w:type="character" w:styleId="IntenseEmphasis">
    <w:name w:val="Intense Emphasis"/>
    <w:basedOn w:val="DefaultParagraphFont"/>
    <w:uiPriority w:val="21"/>
    <w:qFormat/>
    <w:rsid w:val="006A5A2E"/>
    <w:rPr>
      <w:i/>
      <w:iCs/>
      <w:color w:val="0F4761" w:themeColor="accent1" w:themeShade="BF"/>
    </w:rPr>
  </w:style>
  <w:style w:type="paragraph" w:styleId="IntenseQuote">
    <w:name w:val="Intense Quote"/>
    <w:basedOn w:val="Normal"/>
    <w:next w:val="Normal"/>
    <w:link w:val="IntenseQuoteChar"/>
    <w:uiPriority w:val="30"/>
    <w:qFormat/>
    <w:rsid w:val="006A5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A2E"/>
    <w:rPr>
      <w:i/>
      <w:iCs/>
      <w:color w:val="0F4761" w:themeColor="accent1" w:themeShade="BF"/>
    </w:rPr>
  </w:style>
  <w:style w:type="character" w:styleId="IntenseReference">
    <w:name w:val="Intense Reference"/>
    <w:basedOn w:val="DefaultParagraphFont"/>
    <w:uiPriority w:val="32"/>
    <w:qFormat/>
    <w:rsid w:val="006A5A2E"/>
    <w:rPr>
      <w:b/>
      <w:bCs/>
      <w:smallCaps/>
      <w:color w:val="0F4761" w:themeColor="accent1" w:themeShade="BF"/>
      <w:spacing w:val="5"/>
    </w:rPr>
  </w:style>
  <w:style w:type="table" w:customStyle="1" w:styleId="TableGrid4">
    <w:name w:val="Table Grid4"/>
    <w:basedOn w:val="TableNormal"/>
    <w:next w:val="TableGrid"/>
    <w:uiPriority w:val="59"/>
    <w:rsid w:val="0066479E"/>
    <w:pPr>
      <w:spacing w:after="0" w:line="240" w:lineRule="auto"/>
    </w:pPr>
    <w:rPr>
      <w:rFonts w:eastAsia="SimSu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64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List Paragraph1 Char,List Paragraph11 Char,Use Case List Paragraph Char Char,List Paragraph Char Char Char,SGLText List Paragraph Char,Normal Sentence Char,Colorful List - Accent 11 Char,Bullet List Char,FooterText Char"/>
    <w:basedOn w:val="DefaultParagraphFont"/>
    <w:link w:val="ListParagraph"/>
    <w:uiPriority w:val="34"/>
    <w:rsid w:val="0009470B"/>
  </w:style>
  <w:style w:type="character" w:styleId="FootnoteReference">
    <w:name w:val="footnote reference"/>
    <w:uiPriority w:val="99"/>
    <w:rsid w:val="00ED6AB4"/>
    <w:rPr>
      <w:rFonts w:ascii="Times New Roman" w:eastAsia="SimSun" w:hAnsi="Times New Roman" w:cs="Simplified Arabic"/>
      <w:sz w:val="18"/>
      <w:szCs w:val="18"/>
      <w:vertAlign w:val="superscript"/>
      <w:lang w:bidi="ar-AE"/>
    </w:rPr>
  </w:style>
  <w:style w:type="paragraph" w:styleId="FootnoteText">
    <w:name w:val="footnote text"/>
    <w:basedOn w:val="Normal"/>
    <w:link w:val="FootnoteTextChar1"/>
    <w:uiPriority w:val="99"/>
    <w:rsid w:val="00ED6AB4"/>
    <w:pPr>
      <w:spacing w:after="240" w:line="240" w:lineRule="auto"/>
      <w:jc w:val="both"/>
    </w:pPr>
    <w:rPr>
      <w:rFonts w:ascii="Times New Roman" w:eastAsia="SimSun" w:hAnsi="Times New Roman" w:cs="Simplified Arabic"/>
      <w:kern w:val="0"/>
      <w:sz w:val="20"/>
      <w:szCs w:val="20"/>
      <w:lang w:val="en-GB" w:eastAsia="zh-CN" w:bidi="ar-AE"/>
      <w14:ligatures w14:val="none"/>
    </w:rPr>
  </w:style>
  <w:style w:type="character" w:customStyle="1" w:styleId="FootnoteTextChar">
    <w:name w:val="Footnote Text Char"/>
    <w:basedOn w:val="DefaultParagraphFont"/>
    <w:uiPriority w:val="99"/>
    <w:semiHidden/>
    <w:rsid w:val="00ED6AB4"/>
    <w:rPr>
      <w:sz w:val="20"/>
      <w:szCs w:val="20"/>
    </w:rPr>
  </w:style>
  <w:style w:type="character" w:customStyle="1" w:styleId="FootnoteTextChar1">
    <w:name w:val="Footnote Text Char1"/>
    <w:link w:val="FootnoteText"/>
    <w:uiPriority w:val="99"/>
    <w:rsid w:val="00ED6AB4"/>
    <w:rPr>
      <w:rFonts w:ascii="Times New Roman" w:eastAsia="SimSun" w:hAnsi="Times New Roman" w:cs="Simplified Arabic"/>
      <w:kern w:val="0"/>
      <w:sz w:val="20"/>
      <w:szCs w:val="20"/>
      <w:lang w:val="en-GB" w:eastAsia="zh-CN" w:bidi="ar-AE"/>
      <w14:ligatures w14:val="none"/>
    </w:rPr>
  </w:style>
  <w:style w:type="paragraph" w:customStyle="1" w:styleId="Heading31">
    <w:name w:val="Heading 31"/>
    <w:basedOn w:val="Normal"/>
    <w:link w:val="heading3Char0"/>
    <w:qFormat/>
    <w:rsid w:val="00ED6AB4"/>
    <w:pPr>
      <w:keepNext/>
      <w:numPr>
        <w:ilvl w:val="2"/>
      </w:numPr>
      <w:spacing w:before="240" w:after="240" w:line="240" w:lineRule="auto"/>
      <w:jc w:val="both"/>
      <w:outlineLvl w:val="0"/>
    </w:pPr>
    <w:rPr>
      <w:rFonts w:ascii="Times New Roman" w:eastAsia="Times New Roman" w:hAnsi="Times New Roman" w:cs="Times New Roman"/>
      <w:b/>
      <w:bCs/>
      <w:color w:val="0F4761" w:themeColor="accent1" w:themeShade="BF"/>
      <w:kern w:val="32"/>
      <w:sz w:val="24"/>
      <w:szCs w:val="32"/>
      <w:lang w:eastAsia="ru-RU"/>
      <w14:ligatures w14:val="none"/>
    </w:rPr>
  </w:style>
  <w:style w:type="character" w:customStyle="1" w:styleId="heading3Char0">
    <w:name w:val="heading 3 Char"/>
    <w:basedOn w:val="Heading1Char"/>
    <w:link w:val="Heading31"/>
    <w:rsid w:val="00ED6AB4"/>
    <w:rPr>
      <w:rFonts w:ascii="Times New Roman" w:eastAsia="Times New Roman" w:hAnsi="Times New Roman" w:cs="Times New Roman"/>
      <w:b/>
      <w:bCs/>
      <w:color w:val="0F4761" w:themeColor="accent1" w:themeShade="BF"/>
      <w:kern w:val="32"/>
      <w:sz w:val="24"/>
      <w:szCs w:val="32"/>
      <w:lang w:eastAsia="ru-RU"/>
      <w14:ligatures w14:val="none"/>
    </w:rPr>
  </w:style>
  <w:style w:type="paragraph" w:customStyle="1" w:styleId="Heading21">
    <w:name w:val="Heading 21"/>
    <w:basedOn w:val="Normal"/>
    <w:link w:val="heading2Char0"/>
    <w:qFormat/>
    <w:rsid w:val="00FC14B2"/>
    <w:pPr>
      <w:keepNext/>
      <w:numPr>
        <w:ilvl w:val="1"/>
      </w:numPr>
      <w:spacing w:before="240" w:after="240" w:line="240" w:lineRule="auto"/>
      <w:jc w:val="both"/>
      <w:outlineLvl w:val="0"/>
    </w:pPr>
    <w:rPr>
      <w:rFonts w:ascii="Times New Roman" w:eastAsia="Times New Roman" w:hAnsi="Times New Roman" w:cs="Times New Roman"/>
      <w:b/>
      <w:bCs/>
      <w:color w:val="0F4761" w:themeColor="accent1" w:themeShade="BF"/>
      <w:kern w:val="32"/>
      <w:sz w:val="24"/>
      <w:szCs w:val="32"/>
      <w:lang w:val="ru-RU" w:eastAsia="ru-RU"/>
      <w14:ligatures w14:val="none"/>
    </w:rPr>
  </w:style>
  <w:style w:type="character" w:customStyle="1" w:styleId="heading2Char0">
    <w:name w:val="heading 2 Char"/>
    <w:basedOn w:val="Heading1Char"/>
    <w:link w:val="Heading21"/>
    <w:rsid w:val="00FC14B2"/>
    <w:rPr>
      <w:rFonts w:ascii="Times New Roman" w:eastAsia="Times New Roman" w:hAnsi="Times New Roman" w:cs="Times New Roman"/>
      <w:b/>
      <w:bCs/>
      <w:color w:val="0F4761" w:themeColor="accent1" w:themeShade="BF"/>
      <w:kern w:val="32"/>
      <w:sz w:val="24"/>
      <w:szCs w:val="32"/>
      <w:lang w:val="ru-RU" w:eastAsia="ru-RU"/>
      <w14:ligatures w14:val="none"/>
    </w:rPr>
  </w:style>
  <w:style w:type="paragraph" w:customStyle="1" w:styleId="VZTableText">
    <w:name w:val="VZ Table Text"/>
    <w:basedOn w:val="Normal"/>
    <w:uiPriority w:val="99"/>
    <w:rsid w:val="009301F2"/>
    <w:pPr>
      <w:spacing w:before="60" w:after="60" w:line="240" w:lineRule="auto"/>
    </w:pPr>
    <w:rPr>
      <w:rFonts w:ascii="Arial" w:eastAsia="Times New Roman" w:hAnsi="Arial" w:cs="Arial"/>
      <w:bCs/>
      <w:color w:val="000000"/>
      <w:kern w:val="32"/>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65778">
      <w:bodyDiv w:val="1"/>
      <w:marLeft w:val="0"/>
      <w:marRight w:val="0"/>
      <w:marTop w:val="0"/>
      <w:marBottom w:val="0"/>
      <w:divBdr>
        <w:top w:val="none" w:sz="0" w:space="0" w:color="auto"/>
        <w:left w:val="none" w:sz="0" w:space="0" w:color="auto"/>
        <w:bottom w:val="none" w:sz="0" w:space="0" w:color="auto"/>
        <w:right w:val="none" w:sz="0" w:space="0" w:color="auto"/>
      </w:divBdr>
    </w:div>
    <w:div w:id="760299691">
      <w:bodyDiv w:val="1"/>
      <w:marLeft w:val="0"/>
      <w:marRight w:val="0"/>
      <w:marTop w:val="0"/>
      <w:marBottom w:val="0"/>
      <w:divBdr>
        <w:top w:val="none" w:sz="0" w:space="0" w:color="auto"/>
        <w:left w:val="none" w:sz="0" w:space="0" w:color="auto"/>
        <w:bottom w:val="none" w:sz="0" w:space="0" w:color="auto"/>
        <w:right w:val="none" w:sz="0" w:space="0" w:color="auto"/>
      </w:divBdr>
    </w:div>
    <w:div w:id="1546915606">
      <w:bodyDiv w:val="1"/>
      <w:marLeft w:val="0"/>
      <w:marRight w:val="0"/>
      <w:marTop w:val="0"/>
      <w:marBottom w:val="0"/>
      <w:divBdr>
        <w:top w:val="none" w:sz="0" w:space="0" w:color="auto"/>
        <w:left w:val="none" w:sz="0" w:space="0" w:color="auto"/>
        <w:bottom w:val="none" w:sz="0" w:space="0" w:color="auto"/>
        <w:right w:val="none" w:sz="0" w:space="0" w:color="auto"/>
      </w:divBdr>
    </w:div>
    <w:div w:id="170459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Router_%28computing%29" TargetMode="External"/><Relationship Id="rId3" Type="http://schemas.openxmlformats.org/officeDocument/2006/relationships/settings" Target="settings.xml"/><Relationship Id="rId7" Type="http://schemas.openxmlformats.org/officeDocument/2006/relationships/hyperlink" Target="http://en.wikipedia.org/wiki/Server_%28computing%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Telecommunications_provi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1204</TotalTime>
  <Pages>6</Pages>
  <Words>2125</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Kossyakov Pavel</dc:creator>
  <cp:keywords/>
  <dc:description/>
  <cp:lastModifiedBy>Al-Mishaal Haneen Abdulrahman Falih</cp:lastModifiedBy>
  <cp:revision>2</cp:revision>
  <dcterms:created xsi:type="dcterms:W3CDTF">2024-08-15T04:30:00Z</dcterms:created>
  <dcterms:modified xsi:type="dcterms:W3CDTF">2024-08-15T04:30:00Z</dcterms:modified>
</cp:coreProperties>
</file>