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EB991C" w14:textId="36DCD597" w:rsidR="00A25C53" w:rsidRPr="00F74477" w:rsidRDefault="008822D9" w:rsidP="00A25C53">
      <w:pPr>
        <w:shd w:val="clear" w:color="auto" w:fill="FFFFFF" w:themeFill="background1"/>
        <w:spacing w:line="240" w:lineRule="auto"/>
        <w:jc w:val="center"/>
        <w:rPr>
          <w:rFonts w:ascii="Calibri" w:hAnsi="Calibri" w:cs="Calibri"/>
          <w:b/>
          <w:bCs/>
        </w:rPr>
      </w:pPr>
      <w:r w:rsidRPr="00F74477">
        <w:rPr>
          <w:rFonts w:ascii="Calibri" w:hAnsi="Calibri" w:cs="Calibri"/>
          <w:noProof/>
          <w:lang w:eastAsia="en-GB"/>
        </w:rPr>
        <w:drawing>
          <wp:anchor distT="0" distB="0" distL="114300" distR="114300" simplePos="0" relativeHeight="251661312" behindDoc="1" locked="0" layoutInCell="1" allowOverlap="1" wp14:anchorId="12B1B2B4" wp14:editId="2D435FAE">
            <wp:simplePos x="0" y="0"/>
            <wp:positionH relativeFrom="margin">
              <wp:posOffset>4721382</wp:posOffset>
            </wp:positionH>
            <wp:positionV relativeFrom="paragraph">
              <wp:posOffset>-638268</wp:posOffset>
            </wp:positionV>
            <wp:extent cx="1231271" cy="583948"/>
            <wp:effectExtent l="0" t="0" r="6985" b="6985"/>
            <wp:wrapNone/>
            <wp:docPr id="1245541508" name="Picture 1245541508" descr="cid:image001.jpg@01D16CEB.733BD370"/>
            <wp:cNvGraphicFramePr/>
            <a:graphic xmlns:a="http://schemas.openxmlformats.org/drawingml/2006/main">
              <a:graphicData uri="http://schemas.openxmlformats.org/drawingml/2006/picture">
                <pic:pic xmlns:pic="http://schemas.openxmlformats.org/drawingml/2006/picture">
                  <pic:nvPicPr>
                    <pic:cNvPr id="1" name="Picture 1" descr="cid:image001.jpg@01D16CEB.733BD370"/>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7659" cy="591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4477">
        <w:rPr>
          <w:rFonts w:ascii="Calibri" w:hAnsi="Calibri" w:cs="Calibri"/>
          <w:noProof/>
          <w:lang w:eastAsia="en-GB"/>
        </w:rPr>
        <w:drawing>
          <wp:anchor distT="0" distB="0" distL="114300" distR="114300" simplePos="0" relativeHeight="251659264" behindDoc="1" locked="0" layoutInCell="1" allowOverlap="1" wp14:anchorId="5403DADC" wp14:editId="32F00C01">
            <wp:simplePos x="0" y="0"/>
            <wp:positionH relativeFrom="margin">
              <wp:posOffset>0</wp:posOffset>
            </wp:positionH>
            <wp:positionV relativeFrom="paragraph">
              <wp:posOffset>0</wp:posOffset>
            </wp:positionV>
            <wp:extent cx="1458595" cy="695325"/>
            <wp:effectExtent l="0" t="0" r="8255" b="9525"/>
            <wp:wrapNone/>
            <wp:docPr id="2" name="Picture 2" descr="cid:image001.jpg@01D16CEB.733BD370"/>
            <wp:cNvGraphicFramePr/>
            <a:graphic xmlns:a="http://schemas.openxmlformats.org/drawingml/2006/main">
              <a:graphicData uri="http://schemas.openxmlformats.org/drawingml/2006/picture">
                <pic:pic xmlns:pic="http://schemas.openxmlformats.org/drawingml/2006/picture">
                  <pic:nvPicPr>
                    <pic:cNvPr id="1" name="Picture 1" descr="cid:image001.jpg@01D16CEB.733BD370"/>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859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A25C53" w:rsidRPr="00F74477">
        <w:rPr>
          <w:rFonts w:ascii="Calibri" w:hAnsi="Calibri" w:cs="Calibri"/>
          <w:b/>
          <w:bCs/>
        </w:rPr>
        <w:t>Annex</w:t>
      </w:r>
      <w:r w:rsidR="008C04F3">
        <w:rPr>
          <w:rFonts w:ascii="Calibri" w:hAnsi="Calibri" w:cs="Calibri"/>
          <w:b/>
          <w:bCs/>
        </w:rPr>
        <w:t xml:space="preserve"> 6</w:t>
      </w:r>
      <w:r w:rsidR="00A25C53" w:rsidRPr="00F74477">
        <w:rPr>
          <w:rFonts w:ascii="Calibri" w:hAnsi="Calibri" w:cs="Calibri"/>
          <w:b/>
          <w:bCs/>
        </w:rPr>
        <w:t>: Technical Guidance on Gender &amp; Age Analysis</w:t>
      </w:r>
    </w:p>
    <w:p w14:paraId="143C8C48" w14:textId="7991A827" w:rsidR="00DF5FD5" w:rsidRPr="00F74477" w:rsidRDefault="00A25C53" w:rsidP="00DF5FD5">
      <w:pPr>
        <w:shd w:val="clear" w:color="auto" w:fill="FFFFFF" w:themeFill="background1"/>
        <w:spacing w:line="240" w:lineRule="auto"/>
        <w:jc w:val="center"/>
        <w:rPr>
          <w:rFonts w:ascii="Calibri" w:hAnsi="Calibri" w:cs="Calibri"/>
          <w:b/>
          <w:bCs/>
        </w:rPr>
      </w:pPr>
      <w:r w:rsidRPr="00F74477">
        <w:rPr>
          <w:rFonts w:ascii="Calibri" w:hAnsi="Calibri" w:cs="Calibri"/>
          <w:b/>
          <w:bCs/>
        </w:rPr>
        <w:t>Mini</w:t>
      </w:r>
      <w:r w:rsidR="00426355" w:rsidRPr="00F74477">
        <w:rPr>
          <w:rFonts w:ascii="Calibri" w:hAnsi="Calibri" w:cs="Calibri"/>
          <w:b/>
          <w:bCs/>
        </w:rPr>
        <w:t>m</w:t>
      </w:r>
      <w:r w:rsidRPr="00F74477">
        <w:rPr>
          <w:rFonts w:ascii="Calibri" w:hAnsi="Calibri" w:cs="Calibri"/>
          <w:b/>
          <w:bCs/>
        </w:rPr>
        <w:t>um Requirement</w:t>
      </w:r>
    </w:p>
    <w:p w14:paraId="4DB70178" w14:textId="31EDBFEB" w:rsidR="00A25C53" w:rsidRPr="00F74477" w:rsidRDefault="00DF5FD5" w:rsidP="00DF5FD5">
      <w:pPr>
        <w:shd w:val="clear" w:color="auto" w:fill="FFFFFF" w:themeFill="background1"/>
        <w:spacing w:line="240" w:lineRule="auto"/>
        <w:rPr>
          <w:rFonts w:ascii="Calibri" w:hAnsi="Calibri" w:cs="Calibri"/>
        </w:rPr>
      </w:pPr>
      <w:r w:rsidRPr="00F74477">
        <w:rPr>
          <w:rFonts w:ascii="Calibri" w:hAnsi="Calibri" w:cs="Calibri"/>
        </w:rPr>
        <w:t>As part of MSNA the consultant m</w:t>
      </w:r>
      <w:proofErr w:type="spellStart"/>
      <w:r w:rsidR="00A25C53" w:rsidRPr="00F74477">
        <w:rPr>
          <w:rFonts w:ascii="Calibri" w:hAnsi="Calibri" w:cs="Calibri"/>
          <w:lang w:val="en-US"/>
        </w:rPr>
        <w:t>ust</w:t>
      </w:r>
      <w:proofErr w:type="spellEnd"/>
      <w:r w:rsidR="00A25C53" w:rsidRPr="00F74477">
        <w:rPr>
          <w:rFonts w:ascii="Calibri" w:hAnsi="Calibri" w:cs="Calibri"/>
          <w:lang w:val="en-US"/>
        </w:rPr>
        <w:t xml:space="preserve"> conduct a thorough Gender Analysis across all sectors mentioned</w:t>
      </w:r>
      <w:r w:rsidR="008822D9" w:rsidRPr="00F74477">
        <w:rPr>
          <w:rFonts w:ascii="Calibri" w:hAnsi="Calibri" w:cs="Calibri"/>
          <w:lang w:val="en-US"/>
        </w:rPr>
        <w:t xml:space="preserve"> in the </w:t>
      </w:r>
      <w:proofErr w:type="spellStart"/>
      <w:r w:rsidR="008822D9" w:rsidRPr="00F74477">
        <w:rPr>
          <w:rFonts w:ascii="Calibri" w:hAnsi="Calibri" w:cs="Calibri"/>
          <w:lang w:val="en-US"/>
        </w:rPr>
        <w:t>ToR</w:t>
      </w:r>
      <w:proofErr w:type="spellEnd"/>
      <w:r w:rsidR="00A25C53" w:rsidRPr="00F74477">
        <w:rPr>
          <w:rFonts w:ascii="Calibri" w:hAnsi="Calibri" w:cs="Calibri"/>
          <w:lang w:val="en-US"/>
        </w:rPr>
        <w:t xml:space="preserve"> covering following as minimum requirement </w:t>
      </w:r>
    </w:p>
    <w:p w14:paraId="00C02433" w14:textId="088613A7" w:rsidR="00A25C53" w:rsidRPr="00F74477" w:rsidRDefault="00A25C53" w:rsidP="00730D3E">
      <w:pPr>
        <w:pStyle w:val="ListParagraph"/>
        <w:numPr>
          <w:ilvl w:val="0"/>
          <w:numId w:val="1"/>
        </w:numPr>
        <w:shd w:val="clear" w:color="auto" w:fill="FFFFFF" w:themeFill="background1"/>
        <w:spacing w:line="240" w:lineRule="auto"/>
        <w:jc w:val="both"/>
        <w:rPr>
          <w:rFonts w:ascii="Calibri" w:hAnsi="Calibri" w:cs="Calibri"/>
        </w:rPr>
      </w:pPr>
      <w:r w:rsidRPr="00F74477">
        <w:rPr>
          <w:rFonts w:ascii="Calibri" w:hAnsi="Calibri" w:cs="Calibri"/>
          <w:lang w:val="en-US"/>
        </w:rPr>
        <w:t>Identify</w:t>
      </w:r>
      <w:r w:rsidRPr="00F74477">
        <w:rPr>
          <w:rFonts w:ascii="Calibri" w:hAnsi="Calibri" w:cs="Calibri"/>
        </w:rPr>
        <w:t xml:space="preserve"> and examine key gender inequality issues, gender norms, and power relations in the context and </w:t>
      </w:r>
      <w:r w:rsidR="00FA109B" w:rsidRPr="00F74477">
        <w:rPr>
          <w:rFonts w:ascii="Calibri" w:hAnsi="Calibri" w:cs="Calibri"/>
        </w:rPr>
        <w:t xml:space="preserve">identify </w:t>
      </w:r>
      <w:r w:rsidRPr="00F74477">
        <w:rPr>
          <w:rFonts w:ascii="Calibri" w:hAnsi="Calibri" w:cs="Calibri"/>
        </w:rPr>
        <w:t xml:space="preserve">how DCA can best address these dynamics </w:t>
      </w:r>
      <w:r w:rsidR="00FA109B" w:rsidRPr="00F74477">
        <w:rPr>
          <w:rFonts w:ascii="Calibri" w:hAnsi="Calibri" w:cs="Calibri"/>
        </w:rPr>
        <w:t xml:space="preserve">in </w:t>
      </w:r>
      <w:r w:rsidRPr="00F74477">
        <w:rPr>
          <w:rFonts w:ascii="Calibri" w:hAnsi="Calibri" w:cs="Calibri"/>
        </w:rPr>
        <w:t xml:space="preserve">programme design and implementation. The analysis should consider gender norms, roles, gendered division of labour, institutional practices, and </w:t>
      </w:r>
      <w:r w:rsidR="00FA109B" w:rsidRPr="00F74477">
        <w:rPr>
          <w:rFonts w:ascii="Calibri" w:hAnsi="Calibri" w:cs="Calibri"/>
        </w:rPr>
        <w:t xml:space="preserve">structural </w:t>
      </w:r>
      <w:r w:rsidRPr="00F74477">
        <w:rPr>
          <w:rFonts w:ascii="Calibri" w:hAnsi="Calibri" w:cs="Calibri"/>
        </w:rPr>
        <w:t xml:space="preserve">barriers along with assessing access to and control over assets and resources, decision-making structures, gendered risks, and safety issues.  </w:t>
      </w:r>
    </w:p>
    <w:p w14:paraId="66397691" w14:textId="77777777" w:rsidR="00A25C53" w:rsidRPr="00F74477" w:rsidRDefault="00A25C53" w:rsidP="00A25C53">
      <w:pPr>
        <w:pStyle w:val="ListParagraph"/>
        <w:numPr>
          <w:ilvl w:val="0"/>
          <w:numId w:val="1"/>
        </w:numPr>
        <w:shd w:val="clear" w:color="auto" w:fill="FFFFFF" w:themeFill="background1"/>
        <w:spacing w:line="240" w:lineRule="auto"/>
        <w:jc w:val="both"/>
        <w:rPr>
          <w:rFonts w:ascii="Calibri" w:hAnsi="Calibri" w:cs="Calibri"/>
        </w:rPr>
      </w:pPr>
      <w:r w:rsidRPr="00F74477">
        <w:rPr>
          <w:rFonts w:ascii="Calibri" w:hAnsi="Calibri" w:cs="Calibri"/>
        </w:rPr>
        <w:t>Analyse and document gender responsibilities and time use patterns, examining how men and women allocate their time across various activities and considering age and other intersectional characteristics. The analysis should highlight gender-based differences in mobility, participation in meetings, social interactions, information access, leisure time, and rest, while also addressing the impact of unequal work burdens and gendered tasks</w:t>
      </w:r>
      <w:r w:rsidRPr="00F74477">
        <w:rPr>
          <w:rFonts w:ascii="Calibri" w:hAnsi="Calibri" w:cs="Calibri"/>
          <w:lang w:val="en-US"/>
        </w:rPr>
        <w:t xml:space="preserve">. </w:t>
      </w:r>
    </w:p>
    <w:p w14:paraId="458681CD" w14:textId="77777777" w:rsidR="00A25C53" w:rsidRPr="00F74477" w:rsidRDefault="00A25C53" w:rsidP="00A25C53">
      <w:pPr>
        <w:pStyle w:val="ListParagraph"/>
        <w:numPr>
          <w:ilvl w:val="0"/>
          <w:numId w:val="1"/>
        </w:numPr>
        <w:shd w:val="clear" w:color="auto" w:fill="FFFFFF" w:themeFill="background1"/>
        <w:spacing w:line="240" w:lineRule="auto"/>
        <w:jc w:val="both"/>
        <w:rPr>
          <w:rFonts w:ascii="Calibri" w:hAnsi="Calibri" w:cs="Calibri"/>
        </w:rPr>
      </w:pPr>
      <w:r w:rsidRPr="00F74477">
        <w:rPr>
          <w:rFonts w:ascii="Calibri" w:hAnsi="Calibri" w:cs="Calibri"/>
        </w:rPr>
        <w:t>Assess gender-related disparities in access to and control over key resources, assets and opportunities, including land, employment, income, education, social benefits, services, technology, and information. Examine the capacities of men and women to advocate for their rights and choose livelihood and resilience strategies. Investigate challenges hindering women's financial participation, such as access to jobs, loans, and market opportunities. Highlight previous successful practices that promote women's economic empowerment in the region.</w:t>
      </w:r>
    </w:p>
    <w:p w14:paraId="542E74B5" w14:textId="77777777" w:rsidR="00A25C53" w:rsidRPr="00F74477" w:rsidRDefault="00A25C53" w:rsidP="00A25C53">
      <w:pPr>
        <w:pStyle w:val="ListParagraph"/>
        <w:numPr>
          <w:ilvl w:val="0"/>
          <w:numId w:val="1"/>
        </w:numPr>
        <w:shd w:val="clear" w:color="auto" w:fill="FFFFFF" w:themeFill="background1"/>
        <w:spacing w:line="240" w:lineRule="auto"/>
        <w:jc w:val="both"/>
        <w:rPr>
          <w:rFonts w:ascii="Calibri" w:hAnsi="Calibri" w:cs="Calibri"/>
        </w:rPr>
      </w:pPr>
      <w:r w:rsidRPr="00F74477">
        <w:rPr>
          <w:rFonts w:ascii="Calibri" w:eastAsia="Calibri" w:hAnsi="Calibri" w:cs="Calibri"/>
        </w:rPr>
        <w:t>Examine patterns of power and decision-making, evaluating women's access to decision-making structures at various levels and how gender norms and unequal resource access influence this access. Identify intersecting factors contributing to discrimination and marginalization. Suggest strategies for addressing unequal power relationships and decision-making structures, including engaging men and faith-based actors. Explore the role of women-led/local organizations and faith-based actors in promoting or reducing gender equality. Analyse decision-making processes within households and communities related to program purposes like food choices, household expenditures, livelihood strategies, and community resource management, highlighting gender disparities.</w:t>
      </w:r>
    </w:p>
    <w:p w14:paraId="1540186D" w14:textId="77777777" w:rsidR="00A25C53" w:rsidRPr="00F74477" w:rsidRDefault="00A25C53" w:rsidP="00A25C53">
      <w:pPr>
        <w:pStyle w:val="ListParagraph"/>
        <w:numPr>
          <w:ilvl w:val="0"/>
          <w:numId w:val="1"/>
        </w:numPr>
        <w:shd w:val="clear" w:color="auto" w:fill="FFFFFF" w:themeFill="background1"/>
        <w:spacing w:line="240" w:lineRule="auto"/>
        <w:jc w:val="both"/>
        <w:rPr>
          <w:rFonts w:ascii="Calibri" w:hAnsi="Calibri" w:cs="Calibri"/>
        </w:rPr>
      </w:pPr>
      <w:r w:rsidRPr="00F74477">
        <w:rPr>
          <w:rFonts w:ascii="Calibri" w:eastAsia="Calibri" w:hAnsi="Calibri" w:cs="Calibri"/>
        </w:rPr>
        <w:t>Investigate safety, dignity, and well-being concerns, focusing on the prevalence of gender-based violence (GBV) and the availability of data. Conduct a brief mapping and assessment</w:t>
      </w:r>
      <w:r w:rsidRPr="00F74477">
        <w:rPr>
          <w:rFonts w:ascii="Calibri" w:hAnsi="Calibri" w:cs="Calibri"/>
        </w:rPr>
        <w:t xml:space="preserve"> of safe spaces, service providers, and referral pathways/networks, identifying opportunities and gaps. Examine other gendered risks in the context, including those faced by men and boys, such as involvement in armed conflict. Propose strategies for mitigating GBV risks, including engagement with men and faith leaders.</w:t>
      </w:r>
    </w:p>
    <w:p w14:paraId="56F5CAD0" w14:textId="63ECCFCF" w:rsidR="00A25C53" w:rsidRPr="00F74477" w:rsidRDefault="00A25C53" w:rsidP="00A25C53">
      <w:pPr>
        <w:pStyle w:val="ListParagraph"/>
        <w:numPr>
          <w:ilvl w:val="0"/>
          <w:numId w:val="1"/>
        </w:numPr>
        <w:shd w:val="clear" w:color="auto" w:fill="FFFFFF" w:themeFill="background1"/>
        <w:spacing w:line="240" w:lineRule="auto"/>
        <w:jc w:val="both"/>
        <w:rPr>
          <w:rFonts w:ascii="Calibri" w:hAnsi="Calibri" w:cs="Calibri"/>
        </w:rPr>
      </w:pPr>
      <w:r w:rsidRPr="00F74477">
        <w:rPr>
          <w:rFonts w:ascii="Calibri" w:hAnsi="Calibri" w:cs="Calibri"/>
          <w:color w:val="000000"/>
        </w:rPr>
        <w:t>Evaluate national and regional laws, policies, regulations, and institutional practices relevant to gender equality and inclusiveness. Identify gaps in the legal framework and opportunities to promote gender equality through existing laws and policies. Assess women's involvement in governance and civil society, including women-led organizations and advocacy groups focused on gender justice.</w:t>
      </w:r>
    </w:p>
    <w:p w14:paraId="2E7276C3" w14:textId="77777777" w:rsidR="00A25C53" w:rsidRPr="00F74477" w:rsidRDefault="00A25C53" w:rsidP="00A25C53">
      <w:pPr>
        <w:pStyle w:val="ListParagraph"/>
        <w:numPr>
          <w:ilvl w:val="0"/>
          <w:numId w:val="1"/>
        </w:numPr>
        <w:shd w:val="clear" w:color="auto" w:fill="FFFFFF" w:themeFill="background1"/>
        <w:spacing w:line="240" w:lineRule="auto"/>
        <w:jc w:val="both"/>
        <w:rPr>
          <w:rFonts w:ascii="Calibri" w:hAnsi="Calibri" w:cs="Calibri"/>
        </w:rPr>
      </w:pPr>
      <w:r w:rsidRPr="00F74477">
        <w:rPr>
          <w:rFonts w:ascii="Calibri" w:hAnsi="Calibri" w:cs="Calibri"/>
          <w:lang w:val="en-US"/>
        </w:rPr>
        <w:t>Evaluate barriers that prevent persons with disabilities from accessing and participating in humanitarian assistance and protection, and enablers that facilitate their access and participation, and how these can be leveraged or enhanced to overcome identified barriers.</w:t>
      </w:r>
    </w:p>
    <w:p w14:paraId="7842F193" w14:textId="77777777" w:rsidR="00A25C53" w:rsidRPr="00F74477" w:rsidRDefault="00A25C53" w:rsidP="00A25C53">
      <w:pPr>
        <w:pStyle w:val="ListParagraph"/>
        <w:numPr>
          <w:ilvl w:val="0"/>
          <w:numId w:val="1"/>
        </w:numPr>
        <w:spacing w:after="0" w:line="240" w:lineRule="auto"/>
        <w:jc w:val="both"/>
        <w:rPr>
          <w:rFonts w:ascii="Calibri" w:hAnsi="Calibri" w:cs="Calibri"/>
          <w:lang w:val="en-US"/>
        </w:rPr>
      </w:pPr>
      <w:r w:rsidRPr="00F74477">
        <w:rPr>
          <w:rFonts w:ascii="Calibri" w:hAnsi="Calibri" w:cs="Calibri"/>
        </w:rPr>
        <w:t xml:space="preserve">Analyse how conflict affects women and men differently, including their roles in conflict, peace-building, and transitional processes. Examine the interaction between gender norms and conflict drivers or mitigators. Include a focus on GBV and other risks faced by women in the context. Evaluate legal services and mechanisms for holding perpetrators of violence </w:t>
      </w:r>
      <w:r w:rsidRPr="00F74477">
        <w:rPr>
          <w:rFonts w:ascii="Calibri" w:hAnsi="Calibri" w:cs="Calibri"/>
        </w:rPr>
        <w:lastRenderedPageBreak/>
        <w:t>accountable. Suggest strategies for DCA to mitigate GBV risks, involving men and faith leaders in prevention efforts.</w:t>
      </w:r>
    </w:p>
    <w:p w14:paraId="3B3A9355" w14:textId="77777777" w:rsidR="00A25C53" w:rsidRPr="00F74477" w:rsidRDefault="00A25C53" w:rsidP="00A25C53">
      <w:pPr>
        <w:pStyle w:val="ListParagraph"/>
        <w:numPr>
          <w:ilvl w:val="0"/>
          <w:numId w:val="1"/>
        </w:numPr>
        <w:spacing w:after="0" w:line="240" w:lineRule="auto"/>
        <w:jc w:val="both"/>
        <w:rPr>
          <w:rFonts w:ascii="Calibri" w:hAnsi="Calibri" w:cs="Calibri"/>
          <w:lang w:val="en-US"/>
        </w:rPr>
      </w:pPr>
      <w:r w:rsidRPr="00F74477">
        <w:rPr>
          <w:rFonts w:ascii="Calibri" w:hAnsi="Calibri" w:cs="Calibri"/>
          <w:lang w:val="en-US"/>
        </w:rPr>
        <w:t xml:space="preserve">Investigate and analyze intersecting causes (gender, sexuality, age, race, ethnicity, class, caste, religion, disability, socio-economic status, indigeneity, migration and citizenship status </w:t>
      </w:r>
      <w:proofErr w:type="spellStart"/>
      <w:r w:rsidRPr="00F74477">
        <w:rPr>
          <w:rFonts w:ascii="Calibri" w:hAnsi="Calibri" w:cs="Calibri"/>
          <w:lang w:val="en-US"/>
        </w:rPr>
        <w:t>etc</w:t>
      </w:r>
      <w:proofErr w:type="spellEnd"/>
      <w:r w:rsidRPr="00F74477">
        <w:rPr>
          <w:rFonts w:ascii="Calibri" w:hAnsi="Calibri" w:cs="Calibri"/>
          <w:lang w:val="en-US"/>
        </w:rPr>
        <w:t xml:space="preserve">) of discrimination and marginalization throughout the gender analysis. </w:t>
      </w:r>
    </w:p>
    <w:p w14:paraId="5132F254" w14:textId="77777777" w:rsidR="00A25C53" w:rsidRPr="00F74477" w:rsidRDefault="00A25C53" w:rsidP="00A25C53">
      <w:pPr>
        <w:pStyle w:val="ListParagraph"/>
        <w:numPr>
          <w:ilvl w:val="0"/>
          <w:numId w:val="1"/>
        </w:numPr>
        <w:spacing w:after="0" w:line="240" w:lineRule="auto"/>
        <w:jc w:val="both"/>
        <w:rPr>
          <w:rFonts w:ascii="Calibri" w:hAnsi="Calibri" w:cs="Calibri"/>
          <w:lang w:val="en-US"/>
        </w:rPr>
      </w:pPr>
      <w:r w:rsidRPr="00F74477">
        <w:rPr>
          <w:rFonts w:ascii="Calibri" w:hAnsi="Calibri" w:cs="Calibri"/>
          <w:lang w:val="en-US"/>
        </w:rPr>
        <w:t>Produce a conflict sensitivity analysis that identifies the gendered causes, drivers, dynamics and actors that influence violent conflict and societal norms in DCA’s areas of operation in NES.</w:t>
      </w:r>
    </w:p>
    <w:p w14:paraId="2A87612D" w14:textId="77777777" w:rsidR="00A25C53" w:rsidRPr="00F74477" w:rsidRDefault="00A25C53" w:rsidP="00A25C53">
      <w:pPr>
        <w:pStyle w:val="ListParagraph"/>
        <w:numPr>
          <w:ilvl w:val="0"/>
          <w:numId w:val="1"/>
        </w:numPr>
        <w:spacing w:after="0" w:line="240" w:lineRule="auto"/>
        <w:jc w:val="both"/>
        <w:rPr>
          <w:rFonts w:ascii="Calibri" w:hAnsi="Calibri" w:cs="Calibri"/>
          <w:lang w:val="en-US"/>
        </w:rPr>
      </w:pPr>
      <w:r w:rsidRPr="00F74477">
        <w:rPr>
          <w:rFonts w:ascii="Calibri" w:hAnsi="Calibri" w:cs="Calibri"/>
          <w:color w:val="000000" w:themeColor="text1"/>
          <w:lang w:val="en-US"/>
        </w:rPr>
        <w:t>Capture how the given context may impact on DCA’s activities, and vice-versa, how DCA activities may impact on the given context.</w:t>
      </w:r>
      <w:r w:rsidRPr="00F74477">
        <w:rPr>
          <w:rFonts w:ascii="Calibri" w:hAnsi="Calibri" w:cs="Calibri"/>
          <w:b/>
          <w:color w:val="000000" w:themeColor="text1"/>
          <w:lang w:val="en-US"/>
        </w:rPr>
        <w:t xml:space="preserve"> </w:t>
      </w:r>
      <w:r w:rsidRPr="00F74477">
        <w:rPr>
          <w:rFonts w:ascii="Calibri" w:hAnsi="Calibri" w:cs="Calibri"/>
          <w:color w:val="000000" w:themeColor="text1"/>
          <w:lang w:val="en-US"/>
        </w:rPr>
        <w:t xml:space="preserve"> </w:t>
      </w:r>
    </w:p>
    <w:p w14:paraId="26A7BAF7" w14:textId="77777777" w:rsidR="00A25C53" w:rsidRPr="00F74477" w:rsidRDefault="00A25C53" w:rsidP="00A25C53">
      <w:pPr>
        <w:pStyle w:val="ListParagraph"/>
        <w:numPr>
          <w:ilvl w:val="0"/>
          <w:numId w:val="1"/>
        </w:numPr>
        <w:spacing w:after="0" w:line="240" w:lineRule="auto"/>
        <w:jc w:val="both"/>
        <w:rPr>
          <w:rFonts w:ascii="Calibri" w:hAnsi="Calibri" w:cs="Calibri"/>
          <w:lang w:val="en-US"/>
        </w:rPr>
      </w:pPr>
      <w:r w:rsidRPr="00F74477">
        <w:rPr>
          <w:rFonts w:ascii="Calibri" w:hAnsi="Calibri" w:cs="Calibri"/>
          <w:lang w:val="en-US"/>
        </w:rPr>
        <w:t xml:space="preserve">Provide recommendations to DCA on how to </w:t>
      </w:r>
      <w:proofErr w:type="spellStart"/>
      <w:r w:rsidRPr="00F74477">
        <w:rPr>
          <w:rFonts w:ascii="Calibri" w:hAnsi="Calibri" w:cs="Calibri"/>
          <w:lang w:val="en-US"/>
        </w:rPr>
        <w:t>minimise</w:t>
      </w:r>
      <w:proofErr w:type="spellEnd"/>
      <w:r w:rsidRPr="00F74477">
        <w:rPr>
          <w:rFonts w:ascii="Calibri" w:hAnsi="Calibri" w:cs="Calibri"/>
          <w:lang w:val="en-US"/>
        </w:rPr>
        <w:t xml:space="preserve"> negative effects and </w:t>
      </w:r>
      <w:proofErr w:type="spellStart"/>
      <w:r w:rsidRPr="00F74477">
        <w:rPr>
          <w:rFonts w:ascii="Calibri" w:hAnsi="Calibri" w:cs="Calibri"/>
          <w:lang w:val="en-US"/>
        </w:rPr>
        <w:t>maximise</w:t>
      </w:r>
      <w:proofErr w:type="spellEnd"/>
      <w:r w:rsidRPr="00F74477">
        <w:rPr>
          <w:rFonts w:ascii="Calibri" w:hAnsi="Calibri" w:cs="Calibri"/>
          <w:lang w:val="en-US"/>
        </w:rPr>
        <w:t xml:space="preserve"> positive outcomes considering differing scenarios.</w:t>
      </w:r>
    </w:p>
    <w:p w14:paraId="0BBC5160" w14:textId="77777777" w:rsidR="00A25C53" w:rsidRPr="00F74477" w:rsidRDefault="00A25C53" w:rsidP="00A25C53">
      <w:pPr>
        <w:pStyle w:val="ListParagraph"/>
        <w:numPr>
          <w:ilvl w:val="0"/>
          <w:numId w:val="1"/>
        </w:numPr>
        <w:spacing w:after="0" w:line="240" w:lineRule="auto"/>
        <w:jc w:val="both"/>
        <w:rPr>
          <w:rFonts w:ascii="Calibri" w:hAnsi="Calibri" w:cs="Calibri"/>
          <w:lang w:val="en-US"/>
        </w:rPr>
      </w:pPr>
      <w:r w:rsidRPr="00F74477">
        <w:rPr>
          <w:rFonts w:ascii="Calibri" w:hAnsi="Calibri" w:cs="Calibri"/>
          <w:lang w:val="en-US"/>
        </w:rPr>
        <w:t xml:space="preserve">Identify entry points for DCA multi sectoral </w:t>
      </w:r>
      <w:proofErr w:type="spellStart"/>
      <w:r w:rsidRPr="00F74477">
        <w:rPr>
          <w:rFonts w:ascii="Calibri" w:hAnsi="Calibri" w:cs="Calibri"/>
          <w:lang w:val="en-US"/>
        </w:rPr>
        <w:t>programmes</w:t>
      </w:r>
      <w:proofErr w:type="spellEnd"/>
      <w:r w:rsidRPr="00F74477">
        <w:rPr>
          <w:rFonts w:ascii="Calibri" w:hAnsi="Calibri" w:cs="Calibri"/>
          <w:lang w:val="en-US"/>
        </w:rPr>
        <w:t xml:space="preserve"> to support local stakeholders to address root causes of violence and strengthen local capacities to peacefully manage conflict inclusive of gender, age, and diversity. </w:t>
      </w:r>
    </w:p>
    <w:p w14:paraId="529EBF52" w14:textId="275DB3AA" w:rsidR="001E2775" w:rsidRPr="00F74477" w:rsidRDefault="00B43509" w:rsidP="008822D9">
      <w:pPr>
        <w:pStyle w:val="ListParagraph"/>
        <w:spacing w:after="0" w:line="240" w:lineRule="auto"/>
        <w:jc w:val="both"/>
        <w:rPr>
          <w:rFonts w:ascii="Calibri" w:hAnsi="Calibri" w:cs="Calibri"/>
          <w:lang w:val="en-US"/>
        </w:rPr>
      </w:pPr>
      <w:r w:rsidRPr="00F74477">
        <w:rPr>
          <w:rFonts w:ascii="Calibri" w:hAnsi="Calibri" w:cs="Calibri"/>
          <w:lang w:val="en-US"/>
        </w:rPr>
        <w:t xml:space="preserve">Identify different risks and impacts of Explosive Ordnance (EO) on men, women, boys and girls in daily life, and address unequal access to EO risk information based on gender and age. Incorporate gender and age analysis at every operational phase of Humanitarian Mine Action (HMA) to prioritize vulnerable groups. </w:t>
      </w:r>
    </w:p>
    <w:sectPr w:rsidR="001E2775" w:rsidRPr="00F744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857A9"/>
    <w:multiLevelType w:val="hybridMultilevel"/>
    <w:tmpl w:val="0AD28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7371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C53"/>
    <w:rsid w:val="00017D31"/>
    <w:rsid w:val="000D7C37"/>
    <w:rsid w:val="001973A8"/>
    <w:rsid w:val="001E2775"/>
    <w:rsid w:val="003D2FEE"/>
    <w:rsid w:val="003F241B"/>
    <w:rsid w:val="00426355"/>
    <w:rsid w:val="00431AF6"/>
    <w:rsid w:val="00641F81"/>
    <w:rsid w:val="00696A1A"/>
    <w:rsid w:val="006D3E9A"/>
    <w:rsid w:val="006F1D0D"/>
    <w:rsid w:val="00730D3E"/>
    <w:rsid w:val="00787402"/>
    <w:rsid w:val="008822D9"/>
    <w:rsid w:val="008C04F3"/>
    <w:rsid w:val="009E63ED"/>
    <w:rsid w:val="00A25C53"/>
    <w:rsid w:val="00B43509"/>
    <w:rsid w:val="00CF0B83"/>
    <w:rsid w:val="00DF5FD5"/>
    <w:rsid w:val="00F74477"/>
    <w:rsid w:val="00FA109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DFFF4"/>
  <w15:chartTrackingRefBased/>
  <w15:docId w15:val="{5B2719A8-32A0-46A3-B978-295694BBF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C53"/>
    <w:rPr>
      <w:kern w:val="0"/>
      <w14:ligatures w14:val="none"/>
    </w:rPr>
  </w:style>
  <w:style w:type="paragraph" w:styleId="Heading1">
    <w:name w:val="heading 1"/>
    <w:basedOn w:val="Normal"/>
    <w:next w:val="Normal"/>
    <w:link w:val="Heading1Char"/>
    <w:uiPriority w:val="9"/>
    <w:qFormat/>
    <w:rsid w:val="00A25C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C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C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C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C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C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C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C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C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C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C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C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C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C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C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C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C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C53"/>
    <w:rPr>
      <w:rFonts w:eastAsiaTheme="majorEastAsia" w:cstheme="majorBidi"/>
      <w:color w:val="272727" w:themeColor="text1" w:themeTint="D8"/>
    </w:rPr>
  </w:style>
  <w:style w:type="paragraph" w:styleId="Title">
    <w:name w:val="Title"/>
    <w:basedOn w:val="Normal"/>
    <w:next w:val="Normal"/>
    <w:link w:val="TitleChar"/>
    <w:uiPriority w:val="10"/>
    <w:qFormat/>
    <w:rsid w:val="00A25C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C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C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C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C53"/>
    <w:pPr>
      <w:spacing w:before="160"/>
      <w:jc w:val="center"/>
    </w:pPr>
    <w:rPr>
      <w:i/>
      <w:iCs/>
      <w:color w:val="404040" w:themeColor="text1" w:themeTint="BF"/>
    </w:rPr>
  </w:style>
  <w:style w:type="character" w:customStyle="1" w:styleId="QuoteChar">
    <w:name w:val="Quote Char"/>
    <w:basedOn w:val="DefaultParagraphFont"/>
    <w:link w:val="Quote"/>
    <w:uiPriority w:val="29"/>
    <w:rsid w:val="00A25C53"/>
    <w:rPr>
      <w:i/>
      <w:iCs/>
      <w:color w:val="404040" w:themeColor="text1" w:themeTint="BF"/>
    </w:rPr>
  </w:style>
  <w:style w:type="paragraph" w:styleId="ListParagraph">
    <w:name w:val="List Paragraph"/>
    <w:aliases w:val="List NRC,NRC Bullet List,paragraph,normal,List Paragraph1,Normal1,Normal2,Normal3,Normal4,Normal5,Normal6,Normal7 Char,paragraph Char,normal Char,List Paragraph1 Char,Normal1 Char,Normal2 Char,Normal3 Char,Normal4 Char,List Bullet Mary"/>
    <w:basedOn w:val="Normal"/>
    <w:link w:val="ListParagraphChar"/>
    <w:uiPriority w:val="34"/>
    <w:qFormat/>
    <w:rsid w:val="00A25C53"/>
    <w:pPr>
      <w:ind w:left="720"/>
      <w:contextualSpacing/>
    </w:pPr>
  </w:style>
  <w:style w:type="character" w:styleId="IntenseEmphasis">
    <w:name w:val="Intense Emphasis"/>
    <w:basedOn w:val="DefaultParagraphFont"/>
    <w:uiPriority w:val="21"/>
    <w:qFormat/>
    <w:rsid w:val="00A25C53"/>
    <w:rPr>
      <w:i/>
      <w:iCs/>
      <w:color w:val="0F4761" w:themeColor="accent1" w:themeShade="BF"/>
    </w:rPr>
  </w:style>
  <w:style w:type="paragraph" w:styleId="IntenseQuote">
    <w:name w:val="Intense Quote"/>
    <w:basedOn w:val="Normal"/>
    <w:next w:val="Normal"/>
    <w:link w:val="IntenseQuoteChar"/>
    <w:uiPriority w:val="30"/>
    <w:qFormat/>
    <w:rsid w:val="00A25C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C53"/>
    <w:rPr>
      <w:i/>
      <w:iCs/>
      <w:color w:val="0F4761" w:themeColor="accent1" w:themeShade="BF"/>
    </w:rPr>
  </w:style>
  <w:style w:type="character" w:styleId="IntenseReference">
    <w:name w:val="Intense Reference"/>
    <w:basedOn w:val="DefaultParagraphFont"/>
    <w:uiPriority w:val="32"/>
    <w:qFormat/>
    <w:rsid w:val="00A25C53"/>
    <w:rPr>
      <w:b/>
      <w:bCs/>
      <w:smallCaps/>
      <w:color w:val="0F4761" w:themeColor="accent1" w:themeShade="BF"/>
      <w:spacing w:val="5"/>
    </w:rPr>
  </w:style>
  <w:style w:type="character" w:customStyle="1" w:styleId="ListParagraphChar">
    <w:name w:val="List Paragraph Char"/>
    <w:aliases w:val="List NRC Char,NRC Bullet List Char,paragraph Char1,normal Char1,List Paragraph1 Char1,Normal1 Char1,Normal2 Char1,Normal3 Char1,Normal4 Char1,Normal5 Char,Normal6 Char,Normal7 Char Char,paragraph Char Char,normal Char Char"/>
    <w:link w:val="ListParagraph"/>
    <w:uiPriority w:val="34"/>
    <w:locked/>
    <w:rsid w:val="00A25C53"/>
  </w:style>
  <w:style w:type="character" w:styleId="CommentReference">
    <w:name w:val="annotation reference"/>
    <w:basedOn w:val="DefaultParagraphFont"/>
    <w:uiPriority w:val="99"/>
    <w:semiHidden/>
    <w:unhideWhenUsed/>
    <w:rsid w:val="00FA109B"/>
    <w:rPr>
      <w:sz w:val="16"/>
      <w:szCs w:val="16"/>
    </w:rPr>
  </w:style>
  <w:style w:type="paragraph" w:styleId="CommentText">
    <w:name w:val="annotation text"/>
    <w:basedOn w:val="Normal"/>
    <w:link w:val="CommentTextChar"/>
    <w:uiPriority w:val="99"/>
    <w:unhideWhenUsed/>
    <w:rsid w:val="00FA109B"/>
    <w:pPr>
      <w:spacing w:line="240" w:lineRule="auto"/>
    </w:pPr>
    <w:rPr>
      <w:sz w:val="20"/>
      <w:szCs w:val="20"/>
    </w:rPr>
  </w:style>
  <w:style w:type="character" w:customStyle="1" w:styleId="CommentTextChar">
    <w:name w:val="Comment Text Char"/>
    <w:basedOn w:val="DefaultParagraphFont"/>
    <w:link w:val="CommentText"/>
    <w:uiPriority w:val="99"/>
    <w:rsid w:val="00FA109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A109B"/>
    <w:rPr>
      <w:b/>
      <w:bCs/>
    </w:rPr>
  </w:style>
  <w:style w:type="character" w:customStyle="1" w:styleId="CommentSubjectChar">
    <w:name w:val="Comment Subject Char"/>
    <w:basedOn w:val="CommentTextChar"/>
    <w:link w:val="CommentSubject"/>
    <w:uiPriority w:val="99"/>
    <w:semiHidden/>
    <w:rsid w:val="00FA109B"/>
    <w:rPr>
      <w:b/>
      <w:bCs/>
      <w:kern w:val="0"/>
      <w:sz w:val="20"/>
      <w:szCs w:val="20"/>
      <w14:ligatures w14:val="none"/>
    </w:rPr>
  </w:style>
  <w:style w:type="paragraph" w:styleId="Revision">
    <w:name w:val="Revision"/>
    <w:hidden/>
    <w:uiPriority w:val="99"/>
    <w:semiHidden/>
    <w:rsid w:val="00FA109B"/>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CC72C36C6CFB449A1FFDD525065058" ma:contentTypeVersion="16" ma:contentTypeDescription="Create a new document." ma:contentTypeScope="" ma:versionID="c1c9393ad5345626fdfe34895c05b421">
  <xsd:schema xmlns:xsd="http://www.w3.org/2001/XMLSchema" xmlns:xs="http://www.w3.org/2001/XMLSchema" xmlns:p="http://schemas.microsoft.com/office/2006/metadata/properties" xmlns:ns2="198053d0-ea54-460e-854f-a02808dec9c7" xmlns:ns3="443080cd-8d08-4d81-abe4-a331cabf40d8" xmlns:ns4="484c8c59-755d-4516-b8d2-1621b38262b4" targetNamespace="http://schemas.microsoft.com/office/2006/metadata/properties" ma:root="true" ma:fieldsID="af5c4761dffb2978d76e7e124811670b" ns2:_="" ns3:_="" ns4:_="">
    <xsd:import namespace="198053d0-ea54-460e-854f-a02808dec9c7"/>
    <xsd:import namespace="443080cd-8d08-4d81-abe4-a331cabf40d8"/>
    <xsd:import namespace="484c8c59-755d-4516-b8d2-1621b38262b4"/>
    <xsd:element name="properties">
      <xsd:complexType>
        <xsd:sequence>
          <xsd:element name="documentManagement">
            <xsd:complexType>
              <xsd:all>
                <xsd:element ref="ns2:dcaDocumentStatus" minOccurs="0"/>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053d0-ea54-460e-854f-a02808dec9c7" elementFormDefault="qualified">
    <xsd:import namespace="http://schemas.microsoft.com/office/2006/documentManagement/types"/>
    <xsd:import namespace="http://schemas.microsoft.com/office/infopath/2007/PartnerControls"/>
    <xsd:element name="dcaDocumentStatus" ma:index="8" nillable="true" ma:displayName="Document Status" ma:internalName="dcaDocumentStatus">
      <xsd:simpleType>
        <xsd:restriction base="dms:Choice">
          <xsd:enumeration value="Draft"/>
          <xsd:enumeration value="Final"/>
          <xsd:enumeration value="Approved"/>
        </xsd:restriction>
      </xsd:simpleType>
    </xsd:element>
  </xsd:schema>
  <xsd:schema xmlns:xsd="http://www.w3.org/2001/XMLSchema" xmlns:xs="http://www.w3.org/2001/XMLSchema" xmlns:dms="http://schemas.microsoft.com/office/2006/documentManagement/types" xmlns:pc="http://schemas.microsoft.com/office/infopath/2007/PartnerControls" targetNamespace="443080cd-8d08-4d81-abe4-a331cabf40d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0a6f1c8-5c01-43ed-964e-6f545789910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e06935e-cadf-45ca-b541-ff26350cde80}" ma:internalName="TaxCatchAll" ma:showField="CatchAllData" ma:web="748fe8c6-92c4-4835-bb50-249b5d7063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4AC6C-CF9D-49DE-8CAA-6C516454207A}"/>
</file>

<file path=customXml/itemProps2.xml><?xml version="1.0" encoding="utf-8"?>
<ds:datastoreItem xmlns:ds="http://schemas.openxmlformats.org/officeDocument/2006/customXml" ds:itemID="{91D0FFD5-9CCB-43FE-A71A-476CC741B851}"/>
</file>

<file path=docProps/app.xml><?xml version="1.0" encoding="utf-8"?>
<Properties xmlns="http://schemas.openxmlformats.org/officeDocument/2006/extended-properties" xmlns:vt="http://schemas.openxmlformats.org/officeDocument/2006/docPropsVTypes">
  <Template>Normal</Template>
  <TotalTime>40</TotalTime>
  <Pages>2</Pages>
  <Words>797</Words>
  <Characters>4545</Characters>
  <Application>Microsoft Office Word</Application>
  <DocSecurity>0</DocSecurity>
  <Lines>37</Lines>
  <Paragraphs>10</Paragraphs>
  <ScaleCrop>false</ScaleCrop>
  <Company>DanChurchAid</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Saima Ashraf</dc:creator>
  <cp:keywords/>
  <dc:description/>
  <cp:lastModifiedBy>Mohammed Taha</cp:lastModifiedBy>
  <cp:revision>6</cp:revision>
  <dcterms:created xsi:type="dcterms:W3CDTF">2024-09-19T10:48:00Z</dcterms:created>
  <dcterms:modified xsi:type="dcterms:W3CDTF">2024-09-25T14:03:00Z</dcterms:modified>
</cp:coreProperties>
</file>