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5B4B285E" w14:textId="01219504" w:rsidR="00504383" w:rsidRPr="008F1896" w:rsidRDefault="00504383" w:rsidP="00504383">
      <w:pPr>
        <w:pStyle w:val="Heading1"/>
        <w:jc w:val="both"/>
        <w:rPr>
          <w:rFonts w:eastAsiaTheme="minorHAnsi" w:cstheme="majorHAnsi"/>
          <w:color w:val="auto"/>
          <w:sz w:val="22"/>
          <w:szCs w:val="22"/>
        </w:rPr>
      </w:pPr>
      <w:r w:rsidRPr="008F1896">
        <w:rPr>
          <w:rFonts w:eastAsiaTheme="minorHAnsi" w:cstheme="majorHAnsi"/>
          <w:color w:val="auto"/>
          <w:sz w:val="22"/>
          <w:szCs w:val="22"/>
        </w:rPr>
        <w:t xml:space="preserve">Mines Advisory Group (MAG) has received grants from various international donors for the implementation of its humanitarian aid operation in Iraq. MAG requires provision and delivery of </w:t>
      </w:r>
      <w:r w:rsidR="004F7B4F" w:rsidRPr="008F1896">
        <w:rPr>
          <w:rFonts w:eastAsiaTheme="minorHAnsi" w:cstheme="majorHAnsi"/>
          <w:color w:val="auto"/>
          <w:sz w:val="22"/>
          <w:szCs w:val="22"/>
        </w:rPr>
        <w:t>DNGO Financial Audits 202</w:t>
      </w:r>
      <w:r w:rsidR="00E0699A">
        <w:rPr>
          <w:rFonts w:eastAsiaTheme="minorHAnsi" w:cstheme="majorHAnsi"/>
          <w:color w:val="auto"/>
          <w:sz w:val="22"/>
          <w:szCs w:val="22"/>
        </w:rPr>
        <w:t>4</w:t>
      </w:r>
      <w:r w:rsidRPr="008F1896">
        <w:rPr>
          <w:rFonts w:eastAsiaTheme="minorHAnsi" w:cstheme="majorHAnsi"/>
          <w:color w:val="auto"/>
          <w:sz w:val="22"/>
          <w:szCs w:val="22"/>
        </w:rPr>
        <w:t>. MAG requests you to submit price bid(s) for the items detailed on the attached MAG Bid Form (Annex 3).</w:t>
      </w:r>
      <w:r w:rsidRPr="008F1896">
        <w:rPr>
          <w:rFonts w:cstheme="majorHAnsi"/>
          <w:color w:val="000000"/>
        </w:rPr>
        <w:t xml:space="preserve"> </w:t>
      </w:r>
    </w:p>
    <w:p w14:paraId="3AE50DCB" w14:textId="77777777" w:rsidR="00690734" w:rsidRPr="00BF151A" w:rsidRDefault="00690734">
      <w:pPr>
        <w:rPr>
          <w:rFonts w:asciiTheme="majorHAnsi" w:hAnsiTheme="majorHAnsi" w:cstheme="majorHAnsi"/>
        </w:rPr>
      </w:pPr>
    </w:p>
    <w:p w14:paraId="63C44CDA" w14:textId="1212A66A" w:rsidR="00340E49" w:rsidRPr="00BF151A" w:rsidRDefault="00690734" w:rsidP="3066B2D3">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rsidR="001D49F2">
        <w:tab/>
      </w:r>
      <w:r w:rsidR="004F7B4F" w:rsidRPr="004F7B4F">
        <w:rPr>
          <w:b/>
          <w:bCs/>
        </w:rPr>
        <w:t>DNGO Financial Audits 202</w:t>
      </w:r>
      <w:r w:rsidR="00E0699A">
        <w:rPr>
          <w:b/>
          <w:bCs/>
        </w:rPr>
        <w:t>4</w:t>
      </w:r>
      <w:r w:rsidR="004F7B4F" w:rsidRPr="004F7B4F">
        <w:rPr>
          <w:b/>
          <w:bCs/>
        </w:rPr>
        <w:t xml:space="preserve"> </w:t>
      </w:r>
      <w:r w:rsidR="00504383" w:rsidRPr="00D4173B">
        <w:rPr>
          <w:b/>
          <w:bCs/>
        </w:rPr>
        <w:t>-</w:t>
      </w:r>
      <w:r w:rsidR="00504383">
        <w:rPr>
          <w:rFonts w:asciiTheme="majorHAnsi" w:hAnsiTheme="majorHAnsi" w:cstheme="majorBidi"/>
          <w:b/>
          <w:bCs/>
        </w:rPr>
        <w:t xml:space="preserve"> </w:t>
      </w:r>
      <w:r w:rsidR="00504383" w:rsidRPr="00ED3F04">
        <w:rPr>
          <w:b/>
          <w:bCs/>
        </w:rPr>
        <w:t>SD2</w:t>
      </w:r>
      <w:r w:rsidR="00E0699A">
        <w:rPr>
          <w:b/>
          <w:bCs/>
        </w:rPr>
        <w:t>4</w:t>
      </w:r>
      <w:r w:rsidR="00504383" w:rsidRPr="00ED3F04">
        <w:rPr>
          <w:b/>
          <w:bCs/>
        </w:rPr>
        <w:t>-IQ-EHO-0</w:t>
      </w:r>
      <w:r w:rsidR="00E0699A">
        <w:rPr>
          <w:b/>
          <w:bCs/>
        </w:rPr>
        <w:t>21</w:t>
      </w:r>
    </w:p>
    <w:p w14:paraId="71A3702E" w14:textId="0B3E2411" w:rsidR="002307CE" w:rsidRPr="00BF151A" w:rsidRDefault="002307CE" w:rsidP="3066B2D3">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MAG</w:t>
      </w:r>
      <w:r w:rsidR="77BF67D2" w:rsidRPr="3066B2D3">
        <w:rPr>
          <w:rFonts w:asciiTheme="majorHAnsi" w:hAnsiTheme="majorHAnsi" w:cstheme="majorBidi"/>
        </w:rPr>
        <w:t xml:space="preserve"> </w:t>
      </w:r>
      <w:r w:rsidR="77BF67D2" w:rsidRPr="00A867D6">
        <w:rPr>
          <w:rFonts w:asciiTheme="majorHAnsi" w:hAnsiTheme="majorHAnsi" w:cstheme="majorBidi"/>
        </w:rPr>
        <w:t xml:space="preserve">– </w:t>
      </w:r>
      <w:r w:rsidR="00504383" w:rsidRPr="00D4173B">
        <w:rPr>
          <w:rFonts w:asciiTheme="majorHAnsi" w:hAnsiTheme="majorHAnsi" w:cstheme="majorBidi"/>
        </w:rPr>
        <w:t>Iraq</w:t>
      </w:r>
      <w:r w:rsidR="77BF67D2" w:rsidRPr="00A867D6">
        <w:rPr>
          <w:rFonts w:asciiTheme="majorHAnsi" w:hAnsiTheme="majorHAnsi" w:cstheme="majorBidi"/>
        </w:rPr>
        <w:t xml:space="preserve"> </w:t>
      </w:r>
      <w:r w:rsidRPr="00A867D6">
        <w:rPr>
          <w:rFonts w:asciiTheme="majorHAnsi" w:hAnsiTheme="majorHAnsi" w:cstheme="majorBidi"/>
        </w:rPr>
        <w:t>(</w:t>
      </w:r>
      <w:r w:rsidRPr="3066B2D3">
        <w:rPr>
          <w:rFonts w:asciiTheme="majorHAnsi" w:hAnsiTheme="majorHAnsi" w:cstheme="majorBidi"/>
        </w:rPr>
        <w:t xml:space="preserve">Mines Advisory Group) </w:t>
      </w:r>
      <w:r w:rsidR="00611CD1" w:rsidRPr="3066B2D3">
        <w:rPr>
          <w:rFonts w:asciiTheme="majorHAnsi" w:hAnsiTheme="majorHAnsi" w:cstheme="majorBidi"/>
        </w:rPr>
        <w:t xml:space="preserve"> </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20A057CE" w14:textId="56D83C6F" w:rsidR="00690734" w:rsidRPr="00BF151A" w:rsidRDefault="00690734" w:rsidP="3066B2D3">
      <w:pPr>
        <w:spacing w:after="120"/>
        <w:ind w:left="2160" w:hanging="2160"/>
        <w:rPr>
          <w:rFonts w:asciiTheme="majorHAnsi" w:hAnsiTheme="majorHAnsi" w:cstheme="majorBidi"/>
        </w:rPr>
      </w:pPr>
      <w:r w:rsidRPr="3066B2D3">
        <w:rPr>
          <w:rFonts w:asciiTheme="majorHAnsi" w:hAnsiTheme="majorHAnsi" w:cstheme="majorBidi"/>
        </w:rPr>
        <w:t xml:space="preserve">Tender </w:t>
      </w:r>
      <w:r w:rsidR="23DC3E3E" w:rsidRPr="3066B2D3">
        <w:rPr>
          <w:rFonts w:asciiTheme="majorHAnsi" w:hAnsiTheme="majorHAnsi" w:cstheme="majorBidi"/>
        </w:rPr>
        <w:t xml:space="preserve">Costs MAG      </w:t>
      </w:r>
      <w:r w:rsidRPr="3066B2D3">
        <w:rPr>
          <w:rFonts w:asciiTheme="majorHAnsi" w:hAnsiTheme="majorHAnsi" w:cstheme="majorBidi"/>
        </w:rPr>
        <w:t xml:space="preserve"> shall not be liable for any costs incurred in the submission of any proposal.</w:t>
      </w:r>
    </w:p>
    <w:p w14:paraId="6ADD00A0" w14:textId="38E05208" w:rsidR="00690734" w:rsidRPr="00BF151A" w:rsidRDefault="00690734">
      <w:pPr>
        <w:rPr>
          <w:rFonts w:asciiTheme="majorHAnsi" w:hAnsiTheme="majorHAnsi" w:cstheme="majorHAnsi"/>
        </w:rPr>
      </w:pP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Tender Instructions</w:t>
      </w:r>
    </w:p>
    <w:p w14:paraId="14A6F415" w14:textId="3749ED27" w:rsidR="009275A2" w:rsidRPr="00BF151A" w:rsidRDefault="2FF4A9D7" w:rsidP="2900462E">
      <w:pPr>
        <w:pStyle w:val="ListParagraph"/>
        <w:numPr>
          <w:ilvl w:val="0"/>
          <w:numId w:val="7"/>
        </w:numPr>
        <w:rPr>
          <w:rFonts w:asciiTheme="majorHAnsi" w:hAnsiTheme="majorHAnsi" w:cstheme="majorBidi"/>
        </w:rPr>
      </w:pPr>
      <w:r w:rsidRPr="2900462E">
        <w:rPr>
          <w:rFonts w:asciiTheme="majorHAnsi" w:hAnsiTheme="majorHAnsi" w:cstheme="majorBidi"/>
        </w:rPr>
        <w:t xml:space="preserve">Annex 1: Invitation </w:t>
      </w:r>
      <w:r w:rsidR="3C021DBF" w:rsidRPr="2900462E">
        <w:rPr>
          <w:rFonts w:asciiTheme="majorHAnsi" w:hAnsiTheme="majorHAnsi" w:cstheme="majorBidi"/>
        </w:rPr>
        <w:t>to</w:t>
      </w:r>
      <w:r w:rsidRPr="2900462E">
        <w:rPr>
          <w:rFonts w:asciiTheme="majorHAnsi" w:hAnsiTheme="majorHAnsi" w:cstheme="majorBidi"/>
        </w:rPr>
        <w:t xml:space="preserve"> Tender (Advertisement)</w:t>
      </w:r>
    </w:p>
    <w:p w14:paraId="7FA64897" w14:textId="6CD0C10D" w:rsidR="009275A2" w:rsidRPr="00BF151A" w:rsidRDefault="009275A2"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7"/>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7"/>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1404CD9C" w14:textId="24757769" w:rsidR="0076745E" w:rsidRDefault="0076745E"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4972B4A9" w14:textId="6538989F" w:rsidR="004F7B4F" w:rsidRPr="0076745E" w:rsidRDefault="004F7B4F" w:rsidP="0076745E">
      <w:pPr>
        <w:pStyle w:val="ListParagraph"/>
        <w:numPr>
          <w:ilvl w:val="0"/>
          <w:numId w:val="7"/>
        </w:numPr>
        <w:jc w:val="both"/>
        <w:rPr>
          <w:rFonts w:asciiTheme="majorHAnsi" w:hAnsiTheme="majorHAnsi" w:cstheme="majorHAnsi"/>
          <w:bCs/>
        </w:rPr>
      </w:pPr>
      <w:r>
        <w:rPr>
          <w:rFonts w:asciiTheme="majorHAnsi" w:hAnsiTheme="majorHAnsi" w:cstheme="majorHAnsi"/>
          <w:bCs/>
        </w:rPr>
        <w:t>Annex 6: Terms of References (</w:t>
      </w:r>
      <w:proofErr w:type="spellStart"/>
      <w:r>
        <w:rPr>
          <w:rFonts w:asciiTheme="majorHAnsi" w:hAnsiTheme="majorHAnsi" w:cstheme="majorHAnsi"/>
          <w:bCs/>
        </w:rPr>
        <w:t>ToR</w:t>
      </w:r>
      <w:proofErr w:type="spellEnd"/>
      <w:r>
        <w:rPr>
          <w:rFonts w:asciiTheme="majorHAnsi" w:hAnsiTheme="majorHAnsi" w:cstheme="majorHAnsi"/>
          <w:bCs/>
        </w:rPr>
        <w:t>)</w:t>
      </w:r>
    </w:p>
    <w:p w14:paraId="79052178" w14:textId="694FE2C7" w:rsidR="00FC5317" w:rsidRPr="00BF151A" w:rsidRDefault="00FC5317">
      <w:pPr>
        <w:rPr>
          <w:rFonts w:asciiTheme="majorHAnsi" w:hAnsiTheme="majorHAnsi" w:cstheme="majorHAnsi"/>
        </w:rPr>
      </w:pPr>
    </w:p>
    <w:p w14:paraId="06C0C573" w14:textId="77777777" w:rsidR="008C73C0" w:rsidRPr="00BF151A" w:rsidRDefault="008C73C0" w:rsidP="008C73C0">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8C73C0" w:rsidRPr="00BF151A" w14:paraId="7DA9CCE6" w14:textId="77777777" w:rsidTr="00340E49">
        <w:trPr>
          <w:trHeight w:val="432"/>
        </w:trPr>
        <w:tc>
          <w:tcPr>
            <w:tcW w:w="10491" w:type="dxa"/>
            <w:shd w:val="clear" w:color="auto" w:fill="D9D9D9" w:themeFill="background1" w:themeFillShade="D9"/>
            <w:vAlign w:val="center"/>
          </w:tcPr>
          <w:p w14:paraId="2C636F19" w14:textId="627C8BF3" w:rsidR="008C73C0" w:rsidRPr="00BF151A" w:rsidRDefault="00110EB7" w:rsidP="00D37EE9">
            <w:pPr>
              <w:rPr>
                <w:rFonts w:asciiTheme="majorHAnsi" w:hAnsiTheme="majorHAnsi" w:cstheme="majorHAnsi"/>
                <w:b/>
                <w:bCs/>
              </w:rPr>
            </w:pPr>
            <w:r w:rsidRPr="00BF151A">
              <w:rPr>
                <w:rFonts w:asciiTheme="majorHAnsi" w:hAnsiTheme="majorHAnsi" w:cstheme="majorHAnsi"/>
                <w:b/>
                <w:bCs/>
              </w:rPr>
              <w:t>1</w:t>
            </w:r>
            <w:r w:rsidR="008C73C0" w:rsidRPr="00BF151A">
              <w:rPr>
                <w:rFonts w:asciiTheme="majorHAnsi" w:hAnsiTheme="majorHAnsi" w:cstheme="majorHAnsi"/>
                <w:b/>
                <w:bCs/>
              </w:rPr>
              <w:t>. Tender Timetable</w:t>
            </w:r>
          </w:p>
        </w:tc>
      </w:tr>
    </w:tbl>
    <w:p w14:paraId="1C6C5727" w14:textId="2E8FC70D" w:rsidR="008C73C0" w:rsidRPr="00BF151A" w:rsidRDefault="008C73C0">
      <w:pPr>
        <w:rPr>
          <w:rFonts w:asciiTheme="majorHAnsi" w:hAnsiTheme="majorHAnsi" w:cstheme="majorHAnsi"/>
        </w:rPr>
      </w:pPr>
    </w:p>
    <w:p w14:paraId="274DF743" w14:textId="77777777" w:rsidR="00A368B3" w:rsidRPr="00BF151A" w:rsidRDefault="00A368B3">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8C73C0" w:rsidRPr="00BF151A" w14:paraId="4BE1755B" w14:textId="77777777" w:rsidTr="00D4173B">
        <w:tc>
          <w:tcPr>
            <w:tcW w:w="421" w:type="dxa"/>
            <w:shd w:val="clear" w:color="auto" w:fill="DBE5F1" w:themeFill="accent1" w:themeFillTint="33"/>
          </w:tcPr>
          <w:p w14:paraId="7A861051" w14:textId="48991DAE" w:rsidR="008C73C0" w:rsidRPr="00BF151A" w:rsidRDefault="008C73C0">
            <w:pPr>
              <w:rPr>
                <w:rFonts w:asciiTheme="majorHAnsi" w:hAnsiTheme="majorHAnsi" w:cstheme="majorHAnsi"/>
              </w:rPr>
            </w:pPr>
          </w:p>
        </w:tc>
        <w:tc>
          <w:tcPr>
            <w:tcW w:w="4704" w:type="dxa"/>
            <w:shd w:val="clear" w:color="auto" w:fill="DBE5F1" w:themeFill="accent1" w:themeFillTint="33"/>
          </w:tcPr>
          <w:p w14:paraId="709FA990" w14:textId="448C0547" w:rsidR="008C73C0" w:rsidRPr="00BF151A" w:rsidRDefault="008C73C0">
            <w:pPr>
              <w:rPr>
                <w:rFonts w:asciiTheme="majorHAnsi" w:hAnsiTheme="majorHAnsi" w:cstheme="majorHAnsi"/>
              </w:rPr>
            </w:pPr>
            <w:r w:rsidRPr="00BF151A">
              <w:rPr>
                <w:rFonts w:asciiTheme="majorHAnsi" w:hAnsiTheme="majorHAnsi" w:cstheme="majorHAnsi"/>
              </w:rPr>
              <w:t>Activity</w:t>
            </w:r>
          </w:p>
        </w:tc>
        <w:tc>
          <w:tcPr>
            <w:tcW w:w="3930" w:type="dxa"/>
            <w:shd w:val="clear" w:color="auto" w:fill="DBE5F1" w:themeFill="accent1" w:themeFillTint="33"/>
          </w:tcPr>
          <w:p w14:paraId="042CF5E1" w14:textId="277E64FE" w:rsidR="008C73C0" w:rsidRPr="00BF151A" w:rsidRDefault="008C73C0">
            <w:pPr>
              <w:rPr>
                <w:rFonts w:asciiTheme="majorHAnsi" w:hAnsiTheme="majorHAnsi" w:cstheme="majorHAnsi"/>
              </w:rPr>
            </w:pPr>
            <w:r w:rsidRPr="00BF151A">
              <w:rPr>
                <w:rFonts w:asciiTheme="majorHAnsi" w:hAnsiTheme="majorHAnsi" w:cstheme="majorHAnsi"/>
              </w:rPr>
              <w:t>Date</w:t>
            </w:r>
          </w:p>
        </w:tc>
      </w:tr>
      <w:tr w:rsidR="00B238CE" w:rsidRPr="00BF151A" w14:paraId="45D28969" w14:textId="77777777" w:rsidTr="00D4173B">
        <w:tc>
          <w:tcPr>
            <w:tcW w:w="421" w:type="dxa"/>
          </w:tcPr>
          <w:p w14:paraId="235FFBE0" w14:textId="2204C0AE" w:rsidR="00B238CE" w:rsidRPr="00BF151A" w:rsidRDefault="00B238CE" w:rsidP="00B238CE">
            <w:pPr>
              <w:rPr>
                <w:rFonts w:asciiTheme="majorHAnsi" w:hAnsiTheme="majorHAnsi" w:cstheme="majorHAnsi"/>
              </w:rPr>
            </w:pPr>
            <w:bookmarkStart w:id="0" w:name="_GoBack" w:colFirst="2" w:colLast="2"/>
            <w:r w:rsidRPr="00BF151A">
              <w:rPr>
                <w:rFonts w:asciiTheme="majorHAnsi" w:hAnsiTheme="majorHAnsi" w:cstheme="majorHAnsi"/>
              </w:rPr>
              <w:t xml:space="preserve">1  </w:t>
            </w:r>
          </w:p>
        </w:tc>
        <w:tc>
          <w:tcPr>
            <w:tcW w:w="4704" w:type="dxa"/>
          </w:tcPr>
          <w:p w14:paraId="687AD38E" w14:textId="32D0CBF4" w:rsidR="00B238CE" w:rsidRPr="00BF151A" w:rsidRDefault="44103743" w:rsidP="4D6C1F9F">
            <w:pPr>
              <w:rPr>
                <w:rFonts w:asciiTheme="majorHAnsi" w:hAnsiTheme="majorHAnsi" w:cstheme="majorBidi"/>
              </w:rPr>
            </w:pPr>
            <w:r w:rsidRPr="4D6C1F9F">
              <w:rPr>
                <w:rFonts w:asciiTheme="majorHAnsi" w:hAnsiTheme="majorHAnsi" w:cstheme="majorBidi"/>
              </w:rPr>
              <w:t>Tender publication and Invitation to Tender</w:t>
            </w:r>
            <w:bookmarkStart w:id="1" w:name="_Int_yjZ7tJ74"/>
            <w:r w:rsidRPr="4D6C1F9F">
              <w:rPr>
                <w:rFonts w:asciiTheme="majorHAnsi" w:hAnsiTheme="majorHAnsi" w:cstheme="majorBidi"/>
              </w:rPr>
              <w:t xml:space="preserve">.  </w:t>
            </w:r>
            <w:bookmarkEnd w:id="1"/>
          </w:p>
        </w:tc>
        <w:tc>
          <w:tcPr>
            <w:tcW w:w="3930" w:type="dxa"/>
            <w:shd w:val="clear" w:color="auto" w:fill="auto"/>
          </w:tcPr>
          <w:p w14:paraId="344E95B8" w14:textId="4F9CDD86" w:rsidR="00B238CE" w:rsidRPr="00D0031B" w:rsidRDefault="00D0031B" w:rsidP="3066B2D3">
            <w:pPr>
              <w:rPr>
                <w:rFonts w:asciiTheme="majorHAnsi" w:hAnsiTheme="majorHAnsi" w:cstheme="majorBidi"/>
                <w:color w:val="000000" w:themeColor="text1"/>
              </w:rPr>
            </w:pPr>
            <w:r w:rsidRPr="00D0031B">
              <w:rPr>
                <w:rFonts w:asciiTheme="majorHAnsi" w:hAnsiTheme="majorHAnsi" w:cstheme="majorBidi"/>
                <w:color w:val="000000" w:themeColor="text1"/>
              </w:rPr>
              <w:t>1</w:t>
            </w:r>
            <w:r w:rsidR="00C077E7">
              <w:rPr>
                <w:rFonts w:asciiTheme="majorHAnsi" w:hAnsiTheme="majorHAnsi" w:cstheme="majorBidi" w:hint="cs"/>
                <w:color w:val="000000" w:themeColor="text1"/>
                <w:rtl/>
              </w:rPr>
              <w:t>9</w:t>
            </w:r>
            <w:r w:rsidRPr="00D0031B">
              <w:rPr>
                <w:rFonts w:asciiTheme="majorHAnsi" w:hAnsiTheme="majorHAnsi" w:cstheme="majorBidi"/>
                <w:color w:val="000000" w:themeColor="text1"/>
              </w:rPr>
              <w:t xml:space="preserve"> </w:t>
            </w:r>
            <w:r w:rsidR="00E0699A">
              <w:rPr>
                <w:rFonts w:asciiTheme="majorHAnsi" w:hAnsiTheme="majorHAnsi" w:cstheme="majorBidi"/>
                <w:color w:val="000000" w:themeColor="text1"/>
              </w:rPr>
              <w:t>December</w:t>
            </w:r>
            <w:r w:rsidRPr="00D0031B">
              <w:rPr>
                <w:rFonts w:asciiTheme="majorHAnsi" w:hAnsiTheme="majorHAnsi" w:cstheme="majorBidi"/>
                <w:color w:val="000000" w:themeColor="text1"/>
              </w:rPr>
              <w:t xml:space="preserve"> 202</w:t>
            </w:r>
            <w:r w:rsidR="00E0699A">
              <w:rPr>
                <w:rFonts w:asciiTheme="majorHAnsi" w:hAnsiTheme="majorHAnsi" w:cstheme="majorBidi"/>
                <w:color w:val="000000" w:themeColor="text1"/>
              </w:rPr>
              <w:t>4</w:t>
            </w:r>
          </w:p>
        </w:tc>
      </w:tr>
      <w:tr w:rsidR="004F7B4F" w:rsidRPr="00BF151A" w14:paraId="5B59E7E3" w14:textId="77777777" w:rsidTr="00D4173B">
        <w:tc>
          <w:tcPr>
            <w:tcW w:w="421" w:type="dxa"/>
          </w:tcPr>
          <w:p w14:paraId="0FFEDB41" w14:textId="50A8FBDC" w:rsidR="004F7B4F" w:rsidRPr="00BF151A" w:rsidRDefault="004F7B4F" w:rsidP="004F7B4F">
            <w:pPr>
              <w:rPr>
                <w:rFonts w:asciiTheme="majorHAnsi" w:hAnsiTheme="majorHAnsi" w:cstheme="majorHAnsi"/>
              </w:rPr>
            </w:pPr>
            <w:r w:rsidRPr="00BF151A">
              <w:rPr>
                <w:rFonts w:asciiTheme="majorHAnsi" w:hAnsiTheme="majorHAnsi" w:cstheme="majorHAnsi"/>
              </w:rPr>
              <w:t>2</w:t>
            </w:r>
          </w:p>
        </w:tc>
        <w:tc>
          <w:tcPr>
            <w:tcW w:w="4704" w:type="dxa"/>
          </w:tcPr>
          <w:p w14:paraId="3F2E02DD" w14:textId="20F99FB9" w:rsidR="004F7B4F" w:rsidRPr="00BF151A" w:rsidRDefault="004F7B4F" w:rsidP="004F7B4F">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63309F3E" w14:textId="795EE64A" w:rsidR="004F7B4F" w:rsidRPr="00D0031B" w:rsidRDefault="006B4FA7" w:rsidP="004F7B4F">
            <w:pPr>
              <w:rPr>
                <w:rFonts w:asciiTheme="majorHAnsi" w:hAnsiTheme="majorHAnsi" w:cstheme="majorBidi"/>
                <w:color w:val="000000" w:themeColor="text1"/>
              </w:rPr>
            </w:pPr>
            <w:r>
              <w:rPr>
                <w:rFonts w:asciiTheme="majorHAnsi" w:hAnsiTheme="majorHAnsi" w:cstheme="majorBidi"/>
                <w:color w:val="000000" w:themeColor="text1"/>
              </w:rPr>
              <w:t>14</w:t>
            </w:r>
            <w:r w:rsidR="00D0031B">
              <w:rPr>
                <w:rFonts w:asciiTheme="majorHAnsi" w:hAnsiTheme="majorHAnsi" w:cstheme="majorBidi"/>
                <w:color w:val="000000" w:themeColor="text1"/>
              </w:rPr>
              <w:t xml:space="preserve"> </w:t>
            </w:r>
            <w:r w:rsidR="00E0699A">
              <w:rPr>
                <w:rFonts w:asciiTheme="majorHAnsi" w:hAnsiTheme="majorHAnsi" w:cstheme="majorBidi"/>
                <w:color w:val="000000" w:themeColor="text1"/>
              </w:rPr>
              <w:t>January</w:t>
            </w:r>
            <w:r w:rsidR="00D0031B">
              <w:rPr>
                <w:rFonts w:asciiTheme="majorHAnsi" w:hAnsiTheme="majorHAnsi" w:cstheme="majorBidi"/>
                <w:color w:val="000000" w:themeColor="text1"/>
              </w:rPr>
              <w:t xml:space="preserve"> 202</w:t>
            </w:r>
            <w:r w:rsidR="00E0699A">
              <w:rPr>
                <w:rFonts w:asciiTheme="majorHAnsi" w:hAnsiTheme="majorHAnsi" w:cstheme="majorBidi"/>
                <w:color w:val="000000" w:themeColor="text1"/>
              </w:rPr>
              <w:t>5</w:t>
            </w:r>
          </w:p>
        </w:tc>
      </w:tr>
      <w:tr w:rsidR="004F7B4F" w:rsidRPr="00BF151A" w14:paraId="7139DC75" w14:textId="77777777" w:rsidTr="00D4173B">
        <w:tc>
          <w:tcPr>
            <w:tcW w:w="421" w:type="dxa"/>
          </w:tcPr>
          <w:p w14:paraId="38EE6B9E" w14:textId="4BBFF5E5" w:rsidR="004F7B4F" w:rsidRPr="00BF151A" w:rsidRDefault="004F7B4F" w:rsidP="004F7B4F">
            <w:pPr>
              <w:rPr>
                <w:rFonts w:asciiTheme="majorHAnsi" w:hAnsiTheme="majorHAnsi" w:cstheme="majorHAnsi"/>
              </w:rPr>
            </w:pPr>
            <w:r w:rsidRPr="00BF151A">
              <w:rPr>
                <w:rFonts w:asciiTheme="majorHAnsi" w:hAnsiTheme="majorHAnsi" w:cstheme="majorHAnsi"/>
              </w:rPr>
              <w:t>3</w:t>
            </w:r>
          </w:p>
        </w:tc>
        <w:tc>
          <w:tcPr>
            <w:tcW w:w="4704" w:type="dxa"/>
          </w:tcPr>
          <w:p w14:paraId="1E2C723F" w14:textId="61DA8718" w:rsidR="004F7B4F" w:rsidRPr="00BF151A" w:rsidRDefault="004F7B4F" w:rsidP="004F7B4F">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2DA36A83" w14:textId="2B60D4E9" w:rsidR="004F7B4F" w:rsidRPr="00D0031B" w:rsidRDefault="006B4FA7" w:rsidP="004F7B4F">
            <w:pPr>
              <w:rPr>
                <w:rFonts w:asciiTheme="majorHAnsi" w:hAnsiTheme="majorHAnsi" w:cstheme="majorBidi"/>
                <w:color w:val="000000" w:themeColor="text1"/>
              </w:rPr>
            </w:pPr>
            <w:r>
              <w:rPr>
                <w:rFonts w:asciiTheme="majorHAnsi" w:hAnsiTheme="majorHAnsi" w:cstheme="majorBidi"/>
                <w:color w:val="000000" w:themeColor="text1"/>
              </w:rPr>
              <w:t xml:space="preserve">16 </w:t>
            </w:r>
            <w:r w:rsidR="00E0699A">
              <w:rPr>
                <w:rFonts w:asciiTheme="majorHAnsi" w:hAnsiTheme="majorHAnsi" w:cstheme="majorBidi"/>
                <w:color w:val="000000" w:themeColor="text1"/>
              </w:rPr>
              <w:t>January</w:t>
            </w:r>
            <w:r w:rsidR="00D0031B">
              <w:rPr>
                <w:rFonts w:asciiTheme="majorHAnsi" w:hAnsiTheme="majorHAnsi" w:cstheme="majorBidi"/>
                <w:color w:val="000000" w:themeColor="text1"/>
              </w:rPr>
              <w:t xml:space="preserve"> 202</w:t>
            </w:r>
            <w:r w:rsidR="00E0699A">
              <w:rPr>
                <w:rFonts w:asciiTheme="majorHAnsi" w:hAnsiTheme="majorHAnsi" w:cstheme="majorBidi"/>
                <w:color w:val="000000" w:themeColor="text1"/>
              </w:rPr>
              <w:t>5</w:t>
            </w:r>
            <w:r w:rsidR="00BD704E">
              <w:rPr>
                <w:rFonts w:asciiTheme="majorHAnsi" w:hAnsiTheme="majorHAnsi" w:cstheme="majorBidi"/>
                <w:color w:val="000000" w:themeColor="text1"/>
              </w:rPr>
              <w:t xml:space="preserve">, 16:00 Hrs. </w:t>
            </w:r>
          </w:p>
        </w:tc>
      </w:tr>
      <w:bookmarkEnd w:id="0"/>
    </w:tbl>
    <w:p w14:paraId="4961685D" w14:textId="38ED8D6E" w:rsidR="00504383" w:rsidRDefault="00504383">
      <w:pPr>
        <w:rPr>
          <w:rFonts w:asciiTheme="majorHAnsi" w:hAnsiTheme="majorHAnsi" w:cstheme="majorHAnsi"/>
        </w:rPr>
      </w:pPr>
    </w:p>
    <w:p w14:paraId="0C57800B" w14:textId="13D7D9A0" w:rsidR="00504383" w:rsidRDefault="00504383">
      <w:pPr>
        <w:rPr>
          <w:rFonts w:asciiTheme="majorHAnsi" w:hAnsiTheme="majorHAnsi" w:cstheme="majorHAnsi"/>
        </w:rPr>
      </w:pPr>
    </w:p>
    <w:p w14:paraId="5AC4885E" w14:textId="77777777" w:rsidR="00504383" w:rsidRPr="00BF151A" w:rsidRDefault="00504383">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4948D29F" w:rsidR="001612AF" w:rsidRPr="00BF151A" w:rsidRDefault="00110EB7" w:rsidP="00D37EE9">
            <w:pPr>
              <w:rPr>
                <w:rFonts w:asciiTheme="majorHAnsi" w:hAnsiTheme="majorHAnsi" w:cstheme="majorHAnsi"/>
                <w:b/>
                <w:bCs/>
              </w:rPr>
            </w:pPr>
            <w:r w:rsidRPr="00BF151A">
              <w:rPr>
                <w:rFonts w:asciiTheme="majorHAnsi" w:hAnsiTheme="majorHAnsi" w:cstheme="majorHAnsi"/>
                <w:b/>
                <w:bCs/>
              </w:rPr>
              <w:t>2</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48B5A828" w:rsidR="00B004D7"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7C00E95C" w14:textId="77777777" w:rsidR="006B4FA7" w:rsidRPr="00BF151A" w:rsidRDefault="006B4FA7" w:rsidP="00B004D7">
      <w:pPr>
        <w:rPr>
          <w:rFonts w:asciiTheme="majorHAnsi" w:hAnsiTheme="majorHAnsi" w:cstheme="majorHAnsi"/>
        </w:rPr>
      </w:pPr>
    </w:p>
    <w:p w14:paraId="041A3C5B" w14:textId="365C237E" w:rsidR="00504383" w:rsidRDefault="009C5DA4" w:rsidP="00A867D6">
      <w:pPr>
        <w:rPr>
          <w:rFonts w:eastAsia="Cambria" w:cs="DaunPenh"/>
        </w:rPr>
      </w:pPr>
      <w:hyperlink r:id="rId11" w:history="1">
        <w:r w:rsidR="00504383" w:rsidRPr="000940A9">
          <w:rPr>
            <w:rStyle w:val="Hyperlink"/>
            <w:rFonts w:asciiTheme="majorHAnsi" w:hAnsiTheme="majorHAnsi" w:cstheme="majorBidi"/>
          </w:rPr>
          <w:t>https://ngosjobs-bids.com/bids</w:t>
        </w:r>
      </w:hyperlink>
    </w:p>
    <w:p w14:paraId="3AAFE64A" w14:textId="203F8A81" w:rsidR="00504383" w:rsidRDefault="009C5DA4" w:rsidP="00A867D6">
      <w:pPr>
        <w:rPr>
          <w:rFonts w:eastAsia="Cambria" w:cs="DaunPenh"/>
        </w:rPr>
      </w:pPr>
      <w:hyperlink r:id="rId12" w:history="1">
        <w:r w:rsidR="00504383" w:rsidRPr="000940A9">
          <w:rPr>
            <w:rStyle w:val="Hyperlink"/>
            <w:rFonts w:eastAsia="Cambria" w:cs="DaunPenh"/>
          </w:rPr>
          <w:t>https://www.iraq-businessnews.com/tenders/</w:t>
        </w:r>
      </w:hyperlink>
    </w:p>
    <w:p w14:paraId="24D78EEA" w14:textId="19A32F2F" w:rsidR="001A7219" w:rsidRDefault="001A7219" w:rsidP="00A867D6"/>
    <w:p w14:paraId="2455DA18" w14:textId="4A055EAA" w:rsidR="004F7B4F" w:rsidRDefault="004F7B4F" w:rsidP="00A867D6">
      <w:pPr>
        <w:rPr>
          <w:rFonts w:eastAsia="Cambria" w:cs="DaunPenh"/>
        </w:rPr>
      </w:pPr>
    </w:p>
    <w:p w14:paraId="52A37D51" w14:textId="77777777" w:rsidR="006B4FA7" w:rsidRDefault="006B4FA7" w:rsidP="00A867D6">
      <w:pPr>
        <w:rPr>
          <w:rFonts w:eastAsia="Cambria" w:cs="DaunPenh"/>
        </w:rPr>
      </w:pPr>
    </w:p>
    <w:p w14:paraId="47C2579E" w14:textId="77777777" w:rsidR="001A7219" w:rsidRDefault="001A7219" w:rsidP="00A867D6">
      <w:pPr>
        <w:rPr>
          <w:rFonts w:eastAsia="Cambria" w:cs="DaunPenh"/>
        </w:rPr>
      </w:pPr>
    </w:p>
    <w:p w14:paraId="58841C33" w14:textId="77777777" w:rsidR="00504383" w:rsidRPr="00D4173B" w:rsidRDefault="00504383" w:rsidP="00D4173B">
      <w:pPr>
        <w:rPr>
          <w:rFonts w:eastAsia="Cambria" w:cs="DaunPenh"/>
        </w:rPr>
      </w:pPr>
    </w:p>
    <w:p w14:paraId="3B7399F4" w14:textId="41E66904" w:rsidR="00B004D7" w:rsidRPr="00BF151A" w:rsidRDefault="00B004D7" w:rsidP="3066B2D3">
      <w:pPr>
        <w:rPr>
          <w:rFonts w:eastAsia="Cambria" w:cs="DaunPenh"/>
          <w:highlight w:val="yellow"/>
        </w:rPr>
      </w:pPr>
    </w:p>
    <w:p w14:paraId="3E8A2A7F" w14:textId="77777777" w:rsidR="00E626DE" w:rsidRDefault="00E626DE" w:rsidP="00E80651">
      <w:pPr>
        <w:rPr>
          <w:rFonts w:asciiTheme="majorHAnsi" w:hAnsiTheme="majorHAnsi" w:cstheme="majorHAnsi"/>
        </w:rPr>
      </w:pPr>
      <w:r>
        <w:rPr>
          <w:rFonts w:asciiTheme="majorHAnsi" w:hAnsiTheme="majorHAnsi" w:cstheme="majorHAnsi"/>
        </w:rPr>
        <w:lastRenderedPageBreak/>
        <w:t xml:space="preserve">The </w:t>
      </w:r>
      <w:r w:rsidRPr="00E626DE">
        <w:rPr>
          <w:rFonts w:asciiTheme="majorHAnsi" w:hAnsiTheme="majorHAnsi" w:cstheme="majorHAnsi"/>
        </w:rPr>
        <w:t xml:space="preserve">Annex1 - ITT </w:t>
      </w:r>
      <w:r>
        <w:rPr>
          <w:rFonts w:asciiTheme="majorHAnsi" w:hAnsiTheme="majorHAnsi" w:cstheme="majorHAnsi"/>
        </w:rPr>
        <w:t>–</w:t>
      </w:r>
      <w:r w:rsidRPr="00E626DE">
        <w:rPr>
          <w:rFonts w:asciiTheme="majorHAnsi" w:hAnsiTheme="majorHAnsi" w:cstheme="majorHAnsi"/>
        </w:rPr>
        <w:t xml:space="preserve"> Invitation</w:t>
      </w:r>
      <w:r>
        <w:rPr>
          <w:rFonts w:asciiTheme="majorHAnsi" w:hAnsiTheme="majorHAnsi" w:cstheme="majorHAnsi"/>
        </w:rPr>
        <w:t xml:space="preserve"> t</w:t>
      </w:r>
      <w:r w:rsidRPr="00E626DE">
        <w:rPr>
          <w:rFonts w:asciiTheme="majorHAnsi" w:hAnsiTheme="majorHAnsi" w:cstheme="majorHAnsi"/>
        </w:rPr>
        <w:t>o</w:t>
      </w:r>
      <w:r>
        <w:rPr>
          <w:rFonts w:asciiTheme="majorHAnsi" w:hAnsiTheme="majorHAnsi" w:cstheme="majorHAnsi"/>
        </w:rPr>
        <w:t xml:space="preserve"> </w:t>
      </w:r>
      <w:r w:rsidRPr="00E626DE">
        <w:rPr>
          <w:rFonts w:asciiTheme="majorHAnsi" w:hAnsiTheme="majorHAnsi" w:cstheme="majorHAnsi"/>
        </w:rPr>
        <w:t>Tender</w:t>
      </w:r>
      <w:r>
        <w:rPr>
          <w:rFonts w:asciiTheme="majorHAnsi" w:hAnsiTheme="majorHAnsi" w:cstheme="majorHAnsi"/>
        </w:rPr>
        <w:t>, contains a copy of the published information.</w:t>
      </w: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3D426E">
        <w:trPr>
          <w:trHeight w:val="432"/>
        </w:trPr>
        <w:tc>
          <w:tcPr>
            <w:tcW w:w="10491" w:type="dxa"/>
            <w:shd w:val="clear" w:color="auto" w:fill="D9D9D9" w:themeFill="background1" w:themeFillShade="D9"/>
            <w:vAlign w:val="center"/>
          </w:tcPr>
          <w:p w14:paraId="6C836818" w14:textId="1C8A797A" w:rsidR="00E80651" w:rsidRPr="00BF151A" w:rsidRDefault="00E80651" w:rsidP="003D426E">
            <w:pPr>
              <w:rPr>
                <w:rFonts w:asciiTheme="majorHAnsi" w:hAnsiTheme="majorHAnsi" w:cstheme="majorHAnsi"/>
                <w:b/>
                <w:bCs/>
              </w:rPr>
            </w:pPr>
            <w:r w:rsidRPr="00BF151A">
              <w:rPr>
                <w:rFonts w:asciiTheme="majorHAnsi" w:hAnsiTheme="majorHAnsi" w:cstheme="majorHAnsi"/>
                <w:b/>
                <w:bCs/>
              </w:rPr>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316FB42C" w:rsidR="0055705A" w:rsidRDefault="49E26EC0" w:rsidP="446E11E6">
      <w:pPr>
        <w:rPr>
          <w:rFonts w:asciiTheme="majorHAnsi" w:hAnsiTheme="majorHAnsi" w:cstheme="majorBidi"/>
        </w:rPr>
      </w:pPr>
      <w:r w:rsidRPr="446E11E6">
        <w:rPr>
          <w:rFonts w:asciiTheme="majorHAnsi" w:hAnsiTheme="majorHAnsi" w:cstheme="majorBidi"/>
        </w:rPr>
        <w:t xml:space="preserve">Bidders interested </w:t>
      </w:r>
      <w:r w:rsidR="329CA65A" w:rsidRPr="446E11E6">
        <w:rPr>
          <w:rFonts w:asciiTheme="majorHAnsi" w:hAnsiTheme="majorHAnsi" w:cstheme="majorBidi"/>
        </w:rPr>
        <w:t>in participating in</w:t>
      </w:r>
      <w:r w:rsidRPr="446E11E6">
        <w:rPr>
          <w:rFonts w:asciiTheme="majorHAnsi" w:hAnsiTheme="majorHAnsi" w:cstheme="majorBidi"/>
        </w:rPr>
        <w:t xml:space="preserve"> this tender must</w:t>
      </w:r>
      <w:r w:rsidR="003F645C" w:rsidRPr="446E11E6">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23AD21CA" w14:textId="2980157E" w:rsidR="00504383" w:rsidRPr="00AA2C7A"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43F5FC61" w14:textId="4E2AC66E" w:rsidR="00504383" w:rsidRPr="00737BD3" w:rsidRDefault="00504383" w:rsidP="00504383">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857070D" w14:textId="77777777" w:rsidR="005B0F8B" w:rsidRDefault="00504383" w:rsidP="005B0F8B">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870B570" w14:textId="4A6A3A9A" w:rsidR="004F7B4F" w:rsidRPr="005B0F8B" w:rsidRDefault="00504383" w:rsidP="005B0F8B">
      <w:pPr>
        <w:numPr>
          <w:ilvl w:val="0"/>
          <w:numId w:val="4"/>
        </w:numPr>
        <w:spacing w:line="276" w:lineRule="auto"/>
        <w:rPr>
          <w:rFonts w:ascii="Calibri" w:eastAsia="Times New Roman" w:hAnsi="Calibri" w:cs="Calibri"/>
          <w:lang w:val="en-US"/>
        </w:rPr>
      </w:pPr>
      <w:r w:rsidRPr="005B0F8B">
        <w:rPr>
          <w:rFonts w:ascii="Calibri" w:eastAsia="Times New Roman" w:hAnsi="Calibri" w:cs="Calibri"/>
          <w:lang w:val="en-US"/>
        </w:rPr>
        <w:t xml:space="preserve">Submit a Copy of </w:t>
      </w:r>
      <w:r w:rsidR="005B0F8B" w:rsidRPr="005B0F8B">
        <w:rPr>
          <w:rFonts w:asciiTheme="majorHAnsi" w:hAnsiTheme="majorHAnsi" w:cstheme="majorBidi"/>
        </w:rPr>
        <w:t xml:space="preserve">Company/Audit Firm Registration </w:t>
      </w:r>
      <w:r w:rsidR="001B2E97" w:rsidRPr="005B0F8B">
        <w:rPr>
          <w:rFonts w:ascii="Calibri" w:eastAsia="Times New Roman" w:hAnsi="Calibri" w:cs="Calibri"/>
          <w:lang w:val="en-US"/>
        </w:rPr>
        <w:t>in Iraq</w:t>
      </w:r>
      <w:r w:rsidRPr="005B0F8B">
        <w:rPr>
          <w:rFonts w:ascii="Calibri" w:eastAsia="Times New Roman" w:hAnsi="Calibri" w:cs="Calibri"/>
          <w:lang w:val="en-US"/>
        </w:rPr>
        <w:t xml:space="preserve">. </w:t>
      </w:r>
      <w:r w:rsidRPr="005B0F8B">
        <w:rPr>
          <w:rFonts w:ascii="Calibri" w:eastAsia="Times New Roman" w:hAnsi="Calibri" w:cs="Calibri"/>
          <w:highlight w:val="yellow"/>
          <w:lang w:val="en-US"/>
        </w:rPr>
        <w:t>Mandatory</w:t>
      </w:r>
      <w:r w:rsidRPr="005B0F8B">
        <w:rPr>
          <w:rFonts w:ascii="Calibri" w:eastAsia="Times New Roman" w:hAnsi="Calibri" w:cs="Calibri"/>
          <w:lang w:val="en-US"/>
        </w:rPr>
        <w:t>.</w:t>
      </w:r>
    </w:p>
    <w:p w14:paraId="6E1838F7" w14:textId="4686B2BB" w:rsidR="001B2E97" w:rsidRDefault="000610F1" w:rsidP="004F7B4F">
      <w:pPr>
        <w:numPr>
          <w:ilvl w:val="0"/>
          <w:numId w:val="4"/>
        </w:numPr>
        <w:spacing w:line="276" w:lineRule="auto"/>
        <w:rPr>
          <w:rFonts w:ascii="Calibri" w:eastAsia="Times New Roman" w:hAnsi="Calibri" w:cs="Calibri"/>
          <w:lang w:val="en-US"/>
        </w:rPr>
      </w:pPr>
      <w:r w:rsidRPr="000610F1">
        <w:rPr>
          <w:rFonts w:ascii="Calibri" w:eastAsia="Times New Roman" w:hAnsi="Calibri" w:cs="Calibri"/>
          <w:lang w:val="en-US"/>
        </w:rPr>
        <w:t xml:space="preserve">Reference letters from International NGOs for previous years DNGO audit experiences (at least two letters) </w:t>
      </w:r>
      <w:r w:rsidR="00D0031B">
        <w:rPr>
          <w:rFonts w:ascii="Calibri" w:eastAsia="Times New Roman" w:hAnsi="Calibri" w:cs="Calibri"/>
          <w:lang w:val="en-US"/>
        </w:rPr>
        <w:t xml:space="preserve">And/or Copy of similar contracts for NGO’s </w:t>
      </w:r>
      <w:r w:rsidR="00D0031B" w:rsidRPr="000610F1">
        <w:rPr>
          <w:rFonts w:ascii="Calibri" w:eastAsia="Times New Roman" w:hAnsi="Calibri" w:cs="Calibri"/>
          <w:lang w:val="en-US"/>
        </w:rPr>
        <w:t xml:space="preserve">(at least two </w:t>
      </w:r>
      <w:r w:rsidR="00D0031B">
        <w:rPr>
          <w:rFonts w:ascii="Calibri" w:eastAsia="Times New Roman" w:hAnsi="Calibri" w:cs="Calibri"/>
          <w:lang w:val="en-US"/>
        </w:rPr>
        <w:t>contracts</w:t>
      </w:r>
      <w:r w:rsidR="00D0031B" w:rsidRPr="000610F1">
        <w:rPr>
          <w:rFonts w:ascii="Calibri" w:eastAsia="Times New Roman" w:hAnsi="Calibri" w:cs="Calibri"/>
          <w:lang w:val="en-US"/>
        </w:rPr>
        <w:t xml:space="preserve">) </w:t>
      </w:r>
      <w:r w:rsidR="00D0031B" w:rsidRPr="001B2E97">
        <w:rPr>
          <w:rFonts w:ascii="Calibri" w:eastAsia="Times New Roman" w:hAnsi="Calibri" w:cs="Calibri"/>
          <w:highlight w:val="yellow"/>
          <w:lang w:val="en-US"/>
        </w:rPr>
        <w:t>Mandatory</w:t>
      </w:r>
      <w:r w:rsidR="001B2E97" w:rsidRPr="00737BD3">
        <w:rPr>
          <w:rFonts w:ascii="Calibri" w:eastAsia="Times New Roman" w:hAnsi="Calibri" w:cs="Calibri"/>
          <w:lang w:val="en-US"/>
        </w:rPr>
        <w:t>.</w:t>
      </w:r>
    </w:p>
    <w:p w14:paraId="07064D1A" w14:textId="553CAD1E" w:rsidR="008F1896" w:rsidRDefault="008F1896" w:rsidP="001B2E97">
      <w:pPr>
        <w:numPr>
          <w:ilvl w:val="0"/>
          <w:numId w:val="4"/>
        </w:numPr>
        <w:spacing w:line="276" w:lineRule="auto"/>
        <w:rPr>
          <w:rFonts w:ascii="Calibri" w:eastAsia="Times New Roman" w:hAnsi="Calibri" w:cs="Calibri"/>
          <w:lang w:val="en-US"/>
        </w:rPr>
      </w:pPr>
      <w:r w:rsidRPr="008F1896">
        <w:rPr>
          <w:rFonts w:ascii="Calibri" w:eastAsia="Times New Roman" w:hAnsi="Calibri" w:cs="Calibri"/>
          <w:lang w:val="en-US"/>
        </w:rPr>
        <w:t>Submit a bidder profile that includes comprehensive information such as objectives, scope, details of resources to be used and schedule of audits.</w:t>
      </w:r>
      <w:r w:rsidRPr="008F1896">
        <w:rPr>
          <w:rFonts w:ascii="Calibri" w:eastAsia="Times New Roman" w:hAnsi="Calibri" w:cs="Calibri"/>
          <w:highlight w:val="yellow"/>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DCCFCD4" w14:textId="1EE1DB67" w:rsidR="004F7B4F" w:rsidRPr="001B2E97" w:rsidRDefault="00B56746" w:rsidP="001B2E97">
      <w:pPr>
        <w:numPr>
          <w:ilvl w:val="0"/>
          <w:numId w:val="4"/>
        </w:numPr>
        <w:spacing w:line="276" w:lineRule="auto"/>
        <w:rPr>
          <w:rFonts w:ascii="Calibri" w:eastAsia="Times New Roman" w:hAnsi="Calibri" w:cs="Calibri"/>
          <w:lang w:val="en-US"/>
        </w:rPr>
      </w:pPr>
      <w:r>
        <w:rPr>
          <w:rFonts w:ascii="Calibri" w:eastAsia="Times New Roman" w:hAnsi="Calibri" w:cs="Calibri"/>
          <w:lang w:val="en-US"/>
        </w:rPr>
        <w:t xml:space="preserve">Submit a </w:t>
      </w:r>
      <w:r w:rsidR="004F7B4F">
        <w:rPr>
          <w:rFonts w:ascii="Calibri" w:eastAsia="Times New Roman" w:hAnsi="Calibri" w:cs="Calibri"/>
          <w:lang w:val="en-US"/>
        </w:rPr>
        <w:t>License</w:t>
      </w:r>
      <w:r w:rsidR="004F7B4F" w:rsidRPr="004F7B4F">
        <w:rPr>
          <w:rFonts w:ascii="Calibri" w:eastAsia="Times New Roman" w:hAnsi="Calibri" w:cs="Calibri"/>
          <w:lang w:val="en-US"/>
        </w:rPr>
        <w:t xml:space="preserve"> </w:t>
      </w:r>
      <w:r w:rsidR="004F7B4F">
        <w:rPr>
          <w:rFonts w:ascii="Calibri" w:eastAsia="Times New Roman" w:hAnsi="Calibri" w:cs="Calibri"/>
          <w:lang w:val="en-US"/>
        </w:rPr>
        <w:t>from</w:t>
      </w:r>
      <w:r w:rsidR="004F7B4F" w:rsidRPr="004F7B4F">
        <w:rPr>
          <w:rFonts w:ascii="Calibri" w:eastAsia="Times New Roman" w:hAnsi="Calibri" w:cs="Calibri"/>
          <w:lang w:val="en-US"/>
        </w:rPr>
        <w:t xml:space="preserve"> the Iraqi Union of Accountants and Auditors</w:t>
      </w:r>
      <w:r w:rsidR="004F7B4F">
        <w:rPr>
          <w:rFonts w:ascii="Calibri" w:eastAsia="Times New Roman" w:hAnsi="Calibri" w:cs="Calibri"/>
          <w:lang w:val="en-US"/>
        </w:rPr>
        <w:t xml:space="preserve"> (IFAC)</w:t>
      </w:r>
      <w:r w:rsidR="001B2E97">
        <w:rPr>
          <w:rFonts w:ascii="Calibri" w:eastAsia="Times New Roman" w:hAnsi="Calibri" w:cs="Calibri"/>
          <w:lang w:val="en-US"/>
        </w:rPr>
        <w:t xml:space="preserve">. </w:t>
      </w:r>
      <w:r w:rsidR="00D0031B">
        <w:rPr>
          <w:rFonts w:ascii="Calibri" w:eastAsia="Times New Roman" w:hAnsi="Calibri" w:cs="Calibri"/>
          <w:highlight w:val="yellow"/>
          <w:lang w:val="en-US"/>
        </w:rPr>
        <w:t>M</w:t>
      </w:r>
      <w:r w:rsidR="00D0031B" w:rsidRPr="00737BD3">
        <w:rPr>
          <w:rFonts w:ascii="Calibri" w:eastAsia="Times New Roman" w:hAnsi="Calibri" w:cs="Calibri"/>
          <w:highlight w:val="yellow"/>
          <w:lang w:val="en-US"/>
        </w:rPr>
        <w:t>andatory</w:t>
      </w:r>
    </w:p>
    <w:p w14:paraId="0CCA7CAA" w14:textId="759586C7" w:rsidR="004D7FD9" w:rsidRPr="001D49F2" w:rsidRDefault="004D7FD9" w:rsidP="2900462E">
      <w:pPr>
        <w:pStyle w:val="ListParagraph"/>
        <w:numPr>
          <w:ilvl w:val="0"/>
          <w:numId w:val="4"/>
        </w:numPr>
        <w:rPr>
          <w:rFonts w:asciiTheme="majorHAnsi" w:hAnsiTheme="majorHAnsi" w:cstheme="majorBidi"/>
        </w:rPr>
      </w:pPr>
      <w:r w:rsidRPr="001D49F2">
        <w:rPr>
          <w:rFonts w:asciiTheme="majorHAnsi" w:hAnsiTheme="majorHAnsi" w:cstheme="majorBidi"/>
        </w:rPr>
        <w:t>Comply with MAG mandatory Policies and Statements for Suppliers and Contractors included in Annex 5.</w:t>
      </w:r>
    </w:p>
    <w:p w14:paraId="462E5E8B" w14:textId="12313F61" w:rsidR="0055705A" w:rsidRDefault="0055705A" w:rsidP="0055705A">
      <w:pPr>
        <w:rPr>
          <w:rFonts w:asciiTheme="majorHAnsi" w:hAnsiTheme="majorHAnsi" w:cstheme="majorHAnsi"/>
          <w:lang w:bidi="ar-IQ"/>
        </w:rPr>
      </w:pPr>
    </w:p>
    <w:p w14:paraId="065916CD" w14:textId="77777777" w:rsidR="00CA1452" w:rsidRPr="00BF151A" w:rsidRDefault="00CA1452" w:rsidP="0055705A">
      <w:pPr>
        <w:rPr>
          <w:rFonts w:asciiTheme="majorHAnsi" w:hAnsiTheme="majorHAnsi" w:cstheme="majorHAnsi"/>
        </w:rPr>
      </w:pPr>
    </w:p>
    <w:p w14:paraId="1913D203" w14:textId="77777777" w:rsidR="0055705A" w:rsidRDefault="0055705A" w:rsidP="001E31F8">
      <w:pPr>
        <w:rPr>
          <w:rFonts w:asciiTheme="majorHAnsi" w:hAnsiTheme="majorHAnsi" w:cstheme="majorHAnsi"/>
          <w:bCs/>
        </w:rPr>
      </w:pPr>
    </w:p>
    <w:p w14:paraId="2D14CB61" w14:textId="01381B6A" w:rsidR="00BF151A" w:rsidRDefault="00BF151A" w:rsidP="00E626DE">
      <w:pPr>
        <w:pStyle w:val="ListParagraph"/>
        <w:rPr>
          <w:rFonts w:asciiTheme="majorHAnsi" w:hAnsiTheme="majorHAnsi" w:cstheme="majorHAnsi"/>
        </w:rPr>
      </w:pPr>
    </w:p>
    <w:p w14:paraId="1D97F146" w14:textId="05CA2C00" w:rsidR="00E626DE" w:rsidRDefault="005F4AA4" w:rsidP="00E626DE">
      <w:pPr>
        <w:rPr>
          <w:rFonts w:asciiTheme="majorHAnsi" w:hAnsiTheme="majorHAnsi" w:cstheme="majorHAnsi"/>
          <w:b/>
        </w:rPr>
      </w:pPr>
      <w:r>
        <w:rPr>
          <w:rFonts w:asciiTheme="majorHAnsi" w:hAnsiTheme="majorHAnsi" w:cstheme="majorHAnsi"/>
          <w:b/>
        </w:rPr>
        <w:t>FIRST SUBMISSION</w:t>
      </w:r>
    </w:p>
    <w:p w14:paraId="1A2E9B4F" w14:textId="4B443904" w:rsidR="00E626DE" w:rsidRPr="00BD33F4" w:rsidRDefault="00E626DE" w:rsidP="00E626DE">
      <w:pPr>
        <w:rPr>
          <w:rFonts w:asciiTheme="majorHAnsi" w:hAnsiTheme="majorHAnsi" w:cstheme="majorHAnsi"/>
          <w:bCs/>
        </w:rPr>
      </w:pPr>
    </w:p>
    <w:p w14:paraId="28618B77" w14:textId="0F3992ED" w:rsidR="00D61F2E" w:rsidRDefault="00BD33F4" w:rsidP="00E626DE">
      <w:pPr>
        <w:rPr>
          <w:rFonts w:asciiTheme="majorHAnsi" w:hAnsiTheme="majorHAnsi" w:cstheme="majorHAnsi"/>
          <w:bCs/>
        </w:rPr>
      </w:pPr>
      <w:r w:rsidRPr="00BD33F4">
        <w:rPr>
          <w:rFonts w:asciiTheme="majorHAnsi" w:hAnsiTheme="majorHAnsi" w:cstheme="majorHAnsi"/>
          <w:bCs/>
        </w:rPr>
        <w:t xml:space="preserve">The </w:t>
      </w:r>
      <w:r w:rsidR="005F4AA4">
        <w:rPr>
          <w:rFonts w:asciiTheme="majorHAnsi" w:hAnsiTheme="majorHAnsi" w:cstheme="majorHAnsi"/>
          <w:bCs/>
        </w:rPr>
        <w:t xml:space="preserve">First Submission </w:t>
      </w:r>
      <w:r w:rsidRPr="00BD33F4">
        <w:rPr>
          <w:rFonts w:asciiTheme="majorHAnsi" w:hAnsiTheme="majorHAnsi" w:cstheme="majorHAnsi"/>
          <w:bCs/>
        </w:rPr>
        <w:t>should include the</w:t>
      </w:r>
      <w:r w:rsidR="00D61F2E">
        <w:rPr>
          <w:rFonts w:asciiTheme="majorHAnsi" w:hAnsiTheme="majorHAnsi" w:cstheme="majorHAnsi"/>
          <w:bCs/>
        </w:rPr>
        <w:t xml:space="preserve"> following </w:t>
      </w:r>
      <w:r w:rsidR="007829CE">
        <w:rPr>
          <w:rFonts w:asciiTheme="majorHAnsi" w:hAnsiTheme="majorHAnsi" w:cstheme="majorHAnsi"/>
          <w:bCs/>
        </w:rPr>
        <w:t xml:space="preserve">MANDATORY </w:t>
      </w:r>
      <w:r w:rsidR="00D61F2E">
        <w:rPr>
          <w:rFonts w:asciiTheme="majorHAnsi" w:hAnsiTheme="majorHAnsi" w:cstheme="majorHAnsi"/>
          <w:bCs/>
        </w:rPr>
        <w:t>documents</w:t>
      </w:r>
    </w:p>
    <w:p w14:paraId="2EC09772" w14:textId="2D7EBCC4" w:rsidR="00DE07FA" w:rsidRDefault="00DE07FA" w:rsidP="00E626DE">
      <w:pPr>
        <w:rPr>
          <w:rFonts w:asciiTheme="majorHAnsi" w:hAnsiTheme="majorHAnsi" w:cstheme="majorHAnsi"/>
          <w:bCs/>
        </w:rPr>
      </w:pPr>
    </w:p>
    <w:tbl>
      <w:tblPr>
        <w:tblStyle w:val="TableGrid"/>
        <w:tblW w:w="9858" w:type="dxa"/>
        <w:jc w:val="center"/>
        <w:tblLook w:val="04A0" w:firstRow="1" w:lastRow="0" w:firstColumn="1" w:lastColumn="0" w:noHBand="0" w:noVBand="1"/>
      </w:tblPr>
      <w:tblGrid>
        <w:gridCol w:w="338"/>
        <w:gridCol w:w="6373"/>
        <w:gridCol w:w="3147"/>
      </w:tblGrid>
      <w:tr w:rsidR="00207D7C" w:rsidRPr="00AC37C1" w14:paraId="182ADE19" w14:textId="77777777" w:rsidTr="00D0031B">
        <w:trPr>
          <w:trHeight w:val="597"/>
          <w:jc w:val="center"/>
        </w:trPr>
        <w:tc>
          <w:tcPr>
            <w:tcW w:w="338" w:type="dxa"/>
            <w:shd w:val="clear" w:color="auto" w:fill="EAF1DD" w:themeFill="accent3" w:themeFillTint="33"/>
          </w:tcPr>
          <w:p w14:paraId="64684194" w14:textId="77777777" w:rsidR="00207D7C" w:rsidRDefault="00207D7C" w:rsidP="00207D7C">
            <w:pPr>
              <w:jc w:val="center"/>
              <w:rPr>
                <w:rFonts w:asciiTheme="majorHAnsi" w:hAnsiTheme="majorHAnsi" w:cstheme="majorHAnsi"/>
                <w:b/>
              </w:rPr>
            </w:pPr>
          </w:p>
        </w:tc>
        <w:tc>
          <w:tcPr>
            <w:tcW w:w="6373" w:type="dxa"/>
            <w:shd w:val="clear" w:color="auto" w:fill="EAF1DD" w:themeFill="accent3" w:themeFillTint="33"/>
            <w:vAlign w:val="center"/>
          </w:tcPr>
          <w:p w14:paraId="08BE0406" w14:textId="10B0A9A1" w:rsidR="00207D7C" w:rsidRPr="00BD33F4" w:rsidRDefault="00207D7C" w:rsidP="00207D7C">
            <w:pPr>
              <w:jc w:val="center"/>
              <w:rPr>
                <w:rFonts w:asciiTheme="majorHAnsi" w:hAnsiTheme="majorHAnsi" w:cstheme="majorHAnsi"/>
                <w:b/>
              </w:rPr>
            </w:pPr>
            <w:r>
              <w:rPr>
                <w:rFonts w:asciiTheme="majorHAnsi" w:hAnsiTheme="majorHAnsi" w:cstheme="majorHAnsi"/>
                <w:b/>
              </w:rPr>
              <w:t>MANDATORY INFORMATION</w:t>
            </w:r>
          </w:p>
        </w:tc>
        <w:tc>
          <w:tcPr>
            <w:tcW w:w="3147" w:type="dxa"/>
            <w:shd w:val="clear" w:color="auto" w:fill="EAF1DD" w:themeFill="accent3" w:themeFillTint="33"/>
            <w:vAlign w:val="center"/>
          </w:tcPr>
          <w:p w14:paraId="7CAD1C7D" w14:textId="77777777" w:rsidR="00207D7C" w:rsidRPr="00AC37C1" w:rsidRDefault="00207D7C" w:rsidP="00AA66A6">
            <w:pPr>
              <w:jc w:val="center"/>
              <w:rPr>
                <w:rFonts w:asciiTheme="majorHAnsi" w:hAnsiTheme="majorHAnsi" w:cstheme="majorHAnsi"/>
                <w:bCs/>
              </w:rPr>
            </w:pPr>
            <w:r>
              <w:rPr>
                <w:rFonts w:asciiTheme="majorHAnsi" w:hAnsiTheme="majorHAnsi" w:cstheme="majorHAnsi"/>
                <w:bCs/>
              </w:rPr>
              <w:t>Description of the content</w:t>
            </w:r>
          </w:p>
        </w:tc>
      </w:tr>
      <w:tr w:rsidR="00207D7C" w:rsidRPr="00AC37C1" w14:paraId="4144999E" w14:textId="77777777" w:rsidTr="00D0031B">
        <w:trPr>
          <w:jc w:val="center"/>
        </w:trPr>
        <w:tc>
          <w:tcPr>
            <w:tcW w:w="338" w:type="dxa"/>
          </w:tcPr>
          <w:p w14:paraId="44F6F0DC" w14:textId="1A5DFADD" w:rsidR="00207D7C" w:rsidRPr="00207D7C" w:rsidRDefault="00207D7C" w:rsidP="00DE07FA">
            <w:pPr>
              <w:rPr>
                <w:rFonts w:asciiTheme="majorHAnsi" w:hAnsiTheme="majorHAnsi" w:cstheme="majorHAnsi"/>
                <w:bCs/>
              </w:rPr>
            </w:pPr>
            <w:r>
              <w:rPr>
                <w:rFonts w:asciiTheme="majorHAnsi" w:hAnsiTheme="majorHAnsi" w:cstheme="majorHAnsi"/>
                <w:bCs/>
              </w:rPr>
              <w:t>1</w:t>
            </w:r>
          </w:p>
        </w:tc>
        <w:tc>
          <w:tcPr>
            <w:tcW w:w="6373" w:type="dxa"/>
          </w:tcPr>
          <w:p w14:paraId="41C848BA" w14:textId="3B9457BE" w:rsidR="00207D7C" w:rsidRPr="00207D7C" w:rsidRDefault="00207D7C" w:rsidP="00DE07FA">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3147" w:type="dxa"/>
          </w:tcPr>
          <w:p w14:paraId="3B9AEB60" w14:textId="53A65B1A" w:rsidR="00207D7C" w:rsidRPr="00AC37C1" w:rsidRDefault="00207D7C" w:rsidP="003D426E">
            <w:pPr>
              <w:rPr>
                <w:rFonts w:asciiTheme="majorHAnsi" w:hAnsiTheme="majorHAnsi" w:cstheme="majorHAnsi"/>
                <w:bCs/>
              </w:rPr>
            </w:pPr>
          </w:p>
        </w:tc>
      </w:tr>
      <w:tr w:rsidR="00207D7C" w14:paraId="4578E2F6" w14:textId="77777777" w:rsidTr="00D0031B">
        <w:trPr>
          <w:jc w:val="center"/>
        </w:trPr>
        <w:tc>
          <w:tcPr>
            <w:tcW w:w="338" w:type="dxa"/>
          </w:tcPr>
          <w:p w14:paraId="6961BC53" w14:textId="4D410F05" w:rsidR="00207D7C" w:rsidRPr="00207D7C" w:rsidRDefault="00D4173B" w:rsidP="003D426E">
            <w:pPr>
              <w:rPr>
                <w:rFonts w:asciiTheme="majorHAnsi" w:hAnsiTheme="majorHAnsi" w:cstheme="majorHAnsi"/>
                <w:bCs/>
              </w:rPr>
            </w:pPr>
            <w:r>
              <w:rPr>
                <w:rFonts w:asciiTheme="majorHAnsi" w:hAnsiTheme="majorHAnsi" w:cstheme="majorHAnsi"/>
                <w:bCs/>
              </w:rPr>
              <w:t>2</w:t>
            </w:r>
          </w:p>
        </w:tc>
        <w:tc>
          <w:tcPr>
            <w:tcW w:w="6373" w:type="dxa"/>
          </w:tcPr>
          <w:p w14:paraId="4EE0B903" w14:textId="438BE875" w:rsidR="00207D7C" w:rsidRPr="00207D7C" w:rsidRDefault="00207D7C" w:rsidP="003D426E">
            <w:pPr>
              <w:rPr>
                <w:rFonts w:asciiTheme="majorHAnsi" w:hAnsiTheme="majorHAnsi" w:cstheme="majorHAnsi"/>
                <w:bCs/>
              </w:rPr>
            </w:pPr>
            <w:r w:rsidRPr="00207D7C">
              <w:rPr>
                <w:rFonts w:asciiTheme="majorHAnsi" w:hAnsiTheme="majorHAnsi" w:cstheme="majorHAnsi"/>
                <w:bCs/>
              </w:rPr>
              <w:t>Annex4 - Supplier Registration Form.xlsx</w:t>
            </w:r>
          </w:p>
        </w:tc>
        <w:tc>
          <w:tcPr>
            <w:tcW w:w="3147" w:type="dxa"/>
          </w:tcPr>
          <w:p w14:paraId="1E267C3D" w14:textId="7FC9969B" w:rsidR="00207D7C" w:rsidRDefault="00207D7C" w:rsidP="003D426E">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207D7C" w:rsidRPr="00D61F2E" w14:paraId="0189F1C7" w14:textId="77777777" w:rsidTr="00D0031B">
        <w:trPr>
          <w:jc w:val="center"/>
        </w:trPr>
        <w:tc>
          <w:tcPr>
            <w:tcW w:w="338" w:type="dxa"/>
          </w:tcPr>
          <w:p w14:paraId="6263B119" w14:textId="53EA18DE" w:rsidR="00207D7C" w:rsidRPr="00207D7C" w:rsidRDefault="00D4173B" w:rsidP="003D426E">
            <w:pPr>
              <w:rPr>
                <w:rFonts w:asciiTheme="majorHAnsi" w:hAnsiTheme="majorHAnsi" w:cstheme="majorHAnsi"/>
                <w:bCs/>
              </w:rPr>
            </w:pPr>
            <w:r>
              <w:rPr>
                <w:rFonts w:asciiTheme="majorHAnsi" w:hAnsiTheme="majorHAnsi" w:cstheme="majorHAnsi"/>
                <w:bCs/>
              </w:rPr>
              <w:t>3</w:t>
            </w:r>
          </w:p>
        </w:tc>
        <w:tc>
          <w:tcPr>
            <w:tcW w:w="6373" w:type="dxa"/>
          </w:tcPr>
          <w:p w14:paraId="49A7D70D" w14:textId="77D6F510" w:rsidR="00207D7C" w:rsidRPr="00207D7C" w:rsidRDefault="09FC8A07">
            <w:pPr>
              <w:rPr>
                <w:rFonts w:asciiTheme="majorHAnsi" w:hAnsiTheme="majorHAnsi" w:cstheme="majorBidi"/>
              </w:rPr>
            </w:pPr>
            <w:r w:rsidRPr="08F7C9AA">
              <w:rPr>
                <w:rFonts w:asciiTheme="majorHAnsi" w:hAnsiTheme="majorHAnsi" w:cstheme="majorBidi"/>
              </w:rPr>
              <w:t>Company</w:t>
            </w:r>
            <w:r w:rsidR="005B0F8B">
              <w:rPr>
                <w:rFonts w:asciiTheme="majorHAnsi" w:hAnsiTheme="majorHAnsi" w:cstheme="majorBidi"/>
              </w:rPr>
              <w:t>/Audit Firm</w:t>
            </w:r>
            <w:r w:rsidRPr="08F7C9AA">
              <w:rPr>
                <w:rFonts w:asciiTheme="majorHAnsi" w:hAnsiTheme="majorHAnsi" w:cstheme="majorBidi"/>
              </w:rPr>
              <w:t xml:space="preserve"> Registration </w:t>
            </w:r>
          </w:p>
          <w:p w14:paraId="22BE7D6C" w14:textId="47163A01" w:rsidR="00207D7C" w:rsidRPr="00207D7C" w:rsidRDefault="00207D7C" w:rsidP="003D426E">
            <w:pPr>
              <w:rPr>
                <w:rFonts w:asciiTheme="majorHAnsi" w:hAnsiTheme="majorHAnsi" w:cstheme="majorHAnsi"/>
                <w:bCs/>
              </w:rPr>
            </w:pPr>
          </w:p>
          <w:p w14:paraId="46F1E5D7" w14:textId="77777777" w:rsidR="00207D7C" w:rsidRPr="00207D7C" w:rsidRDefault="00207D7C" w:rsidP="003D426E">
            <w:pPr>
              <w:rPr>
                <w:rFonts w:asciiTheme="majorHAnsi" w:hAnsiTheme="majorHAnsi" w:cstheme="majorHAnsi"/>
                <w:bCs/>
              </w:rPr>
            </w:pPr>
          </w:p>
          <w:p w14:paraId="490B33F5" w14:textId="77777777" w:rsidR="00207D7C" w:rsidRPr="00207D7C" w:rsidRDefault="00207D7C" w:rsidP="003D426E">
            <w:pPr>
              <w:rPr>
                <w:rFonts w:asciiTheme="majorHAnsi" w:hAnsiTheme="majorHAnsi" w:cstheme="majorHAnsi"/>
                <w:bCs/>
              </w:rPr>
            </w:pPr>
          </w:p>
        </w:tc>
        <w:tc>
          <w:tcPr>
            <w:tcW w:w="3147" w:type="dxa"/>
          </w:tcPr>
          <w:p w14:paraId="05A40CC1" w14:textId="222B84B0" w:rsidR="00207D7C" w:rsidRPr="00207D7C" w:rsidRDefault="00D0031B" w:rsidP="003D426E">
            <w:pPr>
              <w:rPr>
                <w:rFonts w:asciiTheme="majorHAnsi" w:hAnsiTheme="majorHAnsi" w:cstheme="majorHAnsi"/>
                <w:bCs/>
              </w:rPr>
            </w:pPr>
            <w:r w:rsidRPr="00D0031B">
              <w:rPr>
                <w:rFonts w:asciiTheme="majorHAnsi" w:hAnsiTheme="majorHAnsi" w:cstheme="majorBidi"/>
              </w:rPr>
              <w:t>Must be a registered audit firm in Iraq</w:t>
            </w:r>
            <w:r>
              <w:rPr>
                <w:b/>
                <w:bCs/>
                <w:i/>
                <w:iCs/>
                <w:color w:val="000000"/>
              </w:rPr>
              <w:t xml:space="preserve"> </w:t>
            </w:r>
          </w:p>
        </w:tc>
      </w:tr>
      <w:tr w:rsidR="001B2E97" w:rsidRPr="00AC37C1" w14:paraId="69FF7CC8" w14:textId="77777777" w:rsidTr="00D0031B">
        <w:trPr>
          <w:jc w:val="center"/>
        </w:trPr>
        <w:tc>
          <w:tcPr>
            <w:tcW w:w="338" w:type="dxa"/>
          </w:tcPr>
          <w:p w14:paraId="53E0953F" w14:textId="3BB1CBEF" w:rsidR="001B2E97" w:rsidRPr="00D4173B" w:rsidRDefault="001B2E97" w:rsidP="001B2E97">
            <w:pPr>
              <w:rPr>
                <w:rFonts w:asciiTheme="majorHAnsi" w:hAnsiTheme="majorHAnsi" w:cstheme="majorHAnsi"/>
                <w:bCs/>
                <w:color w:val="FF0000"/>
                <w:highlight w:val="yellow"/>
              </w:rPr>
            </w:pPr>
            <w:r>
              <w:rPr>
                <w:rFonts w:asciiTheme="majorHAnsi" w:hAnsiTheme="majorHAnsi" w:cstheme="majorHAnsi"/>
                <w:bCs/>
                <w:color w:val="000000" w:themeColor="text1"/>
              </w:rPr>
              <w:t>4</w:t>
            </w:r>
          </w:p>
        </w:tc>
        <w:tc>
          <w:tcPr>
            <w:tcW w:w="6373" w:type="dxa"/>
          </w:tcPr>
          <w:p w14:paraId="248A61C2" w14:textId="79BCA6B9" w:rsidR="001B2E97" w:rsidRPr="00D4173B" w:rsidRDefault="00D0031B" w:rsidP="001B2E97">
            <w:pPr>
              <w:rPr>
                <w:rFonts w:asciiTheme="majorHAnsi" w:hAnsiTheme="majorHAnsi" w:cstheme="majorBidi"/>
              </w:rPr>
            </w:pPr>
            <w:r w:rsidRPr="000610F1">
              <w:rPr>
                <w:rFonts w:ascii="Calibri" w:eastAsia="Times New Roman" w:hAnsi="Calibri" w:cs="Calibri"/>
                <w:lang w:val="en-US"/>
              </w:rPr>
              <w:t xml:space="preserve">Reference letters from International NGOs for previous years DNGO audit experiences (at least two letters) </w:t>
            </w:r>
            <w:r>
              <w:rPr>
                <w:rFonts w:ascii="Calibri" w:eastAsia="Times New Roman" w:hAnsi="Calibri" w:cs="Calibri"/>
                <w:lang w:val="en-US"/>
              </w:rPr>
              <w:t xml:space="preserve">And/or Copy of similar contracts for NGO’s </w:t>
            </w:r>
            <w:r w:rsidRPr="000610F1">
              <w:rPr>
                <w:rFonts w:ascii="Calibri" w:eastAsia="Times New Roman" w:hAnsi="Calibri" w:cs="Calibri"/>
                <w:lang w:val="en-US"/>
              </w:rPr>
              <w:t xml:space="preserve">(at least two </w:t>
            </w:r>
            <w:r>
              <w:rPr>
                <w:rFonts w:ascii="Calibri" w:eastAsia="Times New Roman" w:hAnsi="Calibri" w:cs="Calibri"/>
                <w:lang w:val="en-US"/>
              </w:rPr>
              <w:t>contracts</w:t>
            </w:r>
            <w:r w:rsidRPr="000610F1">
              <w:rPr>
                <w:rFonts w:ascii="Calibri" w:eastAsia="Times New Roman" w:hAnsi="Calibri" w:cs="Calibri"/>
                <w:lang w:val="en-US"/>
              </w:rPr>
              <w:t>)</w:t>
            </w:r>
          </w:p>
        </w:tc>
        <w:tc>
          <w:tcPr>
            <w:tcW w:w="3147" w:type="dxa"/>
          </w:tcPr>
          <w:p w14:paraId="6BD51E7C" w14:textId="7719A27E" w:rsidR="001B2E97" w:rsidRPr="001B1121" w:rsidRDefault="001B2E97" w:rsidP="001B2E97">
            <w:pPr>
              <w:rPr>
                <w:rFonts w:asciiTheme="majorHAnsi" w:hAnsiTheme="majorHAnsi" w:cstheme="majorHAnsi"/>
                <w:bCs/>
                <w:color w:val="FF0000"/>
                <w:highlight w:val="yellow"/>
              </w:rPr>
            </w:pPr>
          </w:p>
        </w:tc>
      </w:tr>
      <w:tr w:rsidR="001B2E97" w:rsidRPr="00AC37C1" w14:paraId="32ACC72E" w14:textId="77777777" w:rsidTr="00D0031B">
        <w:trPr>
          <w:jc w:val="center"/>
        </w:trPr>
        <w:tc>
          <w:tcPr>
            <w:tcW w:w="338" w:type="dxa"/>
          </w:tcPr>
          <w:p w14:paraId="51F4AB64" w14:textId="2961F279" w:rsidR="001B2E97" w:rsidRDefault="001B2E97" w:rsidP="001B2E97">
            <w:pPr>
              <w:rPr>
                <w:rFonts w:asciiTheme="majorHAnsi" w:hAnsiTheme="majorHAnsi" w:cstheme="majorHAnsi"/>
                <w:bCs/>
                <w:color w:val="000000" w:themeColor="text1"/>
              </w:rPr>
            </w:pPr>
            <w:r>
              <w:rPr>
                <w:rFonts w:asciiTheme="majorHAnsi" w:hAnsiTheme="majorHAnsi" w:cstheme="majorHAnsi"/>
                <w:bCs/>
                <w:color w:val="000000" w:themeColor="text1"/>
              </w:rPr>
              <w:t>5</w:t>
            </w:r>
          </w:p>
        </w:tc>
        <w:tc>
          <w:tcPr>
            <w:tcW w:w="6373" w:type="dxa"/>
          </w:tcPr>
          <w:p w14:paraId="325FEB34" w14:textId="0593C284" w:rsidR="001B2E97" w:rsidRPr="00D4173B" w:rsidRDefault="00D0031B" w:rsidP="001B2E97">
            <w:pPr>
              <w:rPr>
                <w:rFonts w:asciiTheme="majorHAnsi" w:hAnsiTheme="majorHAnsi" w:cstheme="majorBidi"/>
              </w:rPr>
            </w:pPr>
            <w:r w:rsidRPr="008F1896">
              <w:rPr>
                <w:rFonts w:ascii="Calibri" w:eastAsia="Times New Roman" w:hAnsi="Calibri" w:cs="Calibri"/>
                <w:lang w:val="en-US"/>
              </w:rPr>
              <w:t>Submit a bidder profile that includes comprehensive information such as objectives, scope, details of resources to be used and schedule of audits</w:t>
            </w:r>
          </w:p>
        </w:tc>
        <w:tc>
          <w:tcPr>
            <w:tcW w:w="3147" w:type="dxa"/>
          </w:tcPr>
          <w:p w14:paraId="24CEF57F" w14:textId="77777777" w:rsidR="001B2E97" w:rsidRPr="001B1121" w:rsidRDefault="001B2E97" w:rsidP="001B2E97">
            <w:pPr>
              <w:rPr>
                <w:rFonts w:asciiTheme="majorHAnsi" w:hAnsiTheme="majorHAnsi" w:cstheme="majorHAnsi"/>
                <w:bCs/>
                <w:color w:val="FF0000"/>
                <w:highlight w:val="yellow"/>
              </w:rPr>
            </w:pPr>
          </w:p>
        </w:tc>
      </w:tr>
      <w:tr w:rsidR="00D0031B" w:rsidRPr="00AC37C1" w14:paraId="2854B283" w14:textId="77777777" w:rsidTr="00D0031B">
        <w:trPr>
          <w:jc w:val="center"/>
        </w:trPr>
        <w:tc>
          <w:tcPr>
            <w:tcW w:w="338" w:type="dxa"/>
          </w:tcPr>
          <w:p w14:paraId="60664661" w14:textId="545125BA" w:rsidR="00D0031B" w:rsidRDefault="00D0031B" w:rsidP="001B2E97">
            <w:pPr>
              <w:rPr>
                <w:rFonts w:asciiTheme="majorHAnsi" w:hAnsiTheme="majorHAnsi" w:cstheme="majorHAnsi"/>
                <w:bCs/>
                <w:color w:val="000000" w:themeColor="text1"/>
              </w:rPr>
            </w:pPr>
            <w:r>
              <w:rPr>
                <w:rFonts w:asciiTheme="majorHAnsi" w:hAnsiTheme="majorHAnsi" w:cstheme="majorHAnsi"/>
                <w:bCs/>
                <w:color w:val="000000" w:themeColor="text1"/>
              </w:rPr>
              <w:t>6</w:t>
            </w:r>
          </w:p>
        </w:tc>
        <w:tc>
          <w:tcPr>
            <w:tcW w:w="6373" w:type="dxa"/>
          </w:tcPr>
          <w:p w14:paraId="4EA6EA7A" w14:textId="6BE67CFA" w:rsidR="00D0031B" w:rsidRPr="008F1896" w:rsidRDefault="00D0031B" w:rsidP="001B2E97">
            <w:pPr>
              <w:rPr>
                <w:rFonts w:ascii="Calibri" w:eastAsia="Times New Roman" w:hAnsi="Calibri" w:cs="Calibri"/>
                <w:lang w:val="en-US"/>
              </w:rPr>
            </w:pPr>
            <w:r>
              <w:rPr>
                <w:rFonts w:ascii="Calibri" w:eastAsia="Times New Roman" w:hAnsi="Calibri" w:cs="Calibri"/>
                <w:lang w:val="en-US"/>
              </w:rPr>
              <w:t>Submit a License</w:t>
            </w:r>
            <w:r w:rsidRPr="004F7B4F">
              <w:rPr>
                <w:rFonts w:ascii="Calibri" w:eastAsia="Times New Roman" w:hAnsi="Calibri" w:cs="Calibri"/>
                <w:lang w:val="en-US"/>
              </w:rPr>
              <w:t xml:space="preserve"> </w:t>
            </w:r>
            <w:r>
              <w:rPr>
                <w:rFonts w:ascii="Calibri" w:eastAsia="Times New Roman" w:hAnsi="Calibri" w:cs="Calibri"/>
                <w:lang w:val="en-US"/>
              </w:rPr>
              <w:t>from</w:t>
            </w:r>
            <w:r w:rsidRPr="004F7B4F">
              <w:rPr>
                <w:rFonts w:ascii="Calibri" w:eastAsia="Times New Roman" w:hAnsi="Calibri" w:cs="Calibri"/>
                <w:lang w:val="en-US"/>
              </w:rPr>
              <w:t xml:space="preserve"> the Iraqi Union of Accountants and Auditors</w:t>
            </w:r>
            <w:r>
              <w:rPr>
                <w:rFonts w:ascii="Calibri" w:eastAsia="Times New Roman" w:hAnsi="Calibri" w:cs="Calibri"/>
                <w:lang w:val="en-US"/>
              </w:rPr>
              <w:t xml:space="preserve"> (IFAC)</w:t>
            </w:r>
          </w:p>
        </w:tc>
        <w:tc>
          <w:tcPr>
            <w:tcW w:w="3147" w:type="dxa"/>
          </w:tcPr>
          <w:p w14:paraId="747E3218" w14:textId="77777777" w:rsidR="00D0031B" w:rsidRPr="001B1121" w:rsidRDefault="00D0031B" w:rsidP="001B2E97">
            <w:pPr>
              <w:rPr>
                <w:rFonts w:asciiTheme="majorHAnsi" w:hAnsiTheme="majorHAnsi" w:cstheme="majorHAnsi"/>
                <w:bCs/>
                <w:color w:val="FF0000"/>
                <w:highlight w:val="yellow"/>
              </w:rPr>
            </w:pPr>
          </w:p>
        </w:tc>
      </w:tr>
    </w:tbl>
    <w:p w14:paraId="179A8912" w14:textId="77777777" w:rsidR="00D0031B" w:rsidRDefault="00D0031B" w:rsidP="00BD33F4">
      <w:pPr>
        <w:rPr>
          <w:rFonts w:asciiTheme="majorHAnsi" w:hAnsiTheme="majorHAnsi" w:cstheme="majorHAnsi"/>
          <w:b/>
        </w:rPr>
      </w:pPr>
    </w:p>
    <w:p w14:paraId="6BF1272F" w14:textId="50F30F30" w:rsidR="00E626DE" w:rsidRDefault="00DE07FA" w:rsidP="00BD33F4">
      <w:pPr>
        <w:rPr>
          <w:rFonts w:asciiTheme="majorHAnsi" w:hAnsiTheme="majorHAnsi" w:cstheme="majorHAnsi"/>
          <w:b/>
        </w:rPr>
      </w:pPr>
      <w:r>
        <w:rPr>
          <w:rFonts w:asciiTheme="majorHAnsi" w:hAnsiTheme="majorHAnsi" w:cstheme="majorHAnsi"/>
          <w:b/>
        </w:rPr>
        <w:t xml:space="preserve">FINANCIAL SUBMISION </w:t>
      </w:r>
    </w:p>
    <w:p w14:paraId="7D2DA0CB" w14:textId="77777777" w:rsidR="00BD33F4" w:rsidRPr="00BD33F4" w:rsidRDefault="00BD33F4" w:rsidP="00BD33F4">
      <w:pPr>
        <w:rPr>
          <w:rFonts w:asciiTheme="majorHAnsi" w:hAnsiTheme="majorHAnsi" w:cstheme="majorHAnsi"/>
        </w:rPr>
      </w:pPr>
    </w:p>
    <w:p w14:paraId="3C99431D" w14:textId="72E93262" w:rsidR="00384FB4" w:rsidRDefault="00BD33F4" w:rsidP="00BD33F4">
      <w:pPr>
        <w:rPr>
          <w:rFonts w:asciiTheme="majorHAnsi" w:hAnsiTheme="majorHAnsi" w:cstheme="majorHAnsi"/>
          <w:bCs/>
        </w:rPr>
      </w:pPr>
      <w:r w:rsidRPr="00BD33F4">
        <w:rPr>
          <w:rFonts w:asciiTheme="majorHAnsi" w:hAnsiTheme="majorHAnsi" w:cstheme="majorHAnsi"/>
          <w:bCs/>
        </w:rPr>
        <w:t xml:space="preserve">The </w:t>
      </w:r>
      <w:r w:rsidR="00384FB4">
        <w:rPr>
          <w:rFonts w:asciiTheme="majorHAnsi" w:hAnsiTheme="majorHAnsi" w:cstheme="majorHAnsi"/>
          <w:bCs/>
        </w:rPr>
        <w:t xml:space="preserve">second email should </w:t>
      </w:r>
      <w:r w:rsidR="001B1121">
        <w:rPr>
          <w:rFonts w:asciiTheme="majorHAnsi" w:hAnsiTheme="majorHAnsi" w:cstheme="majorHAnsi"/>
          <w:bCs/>
        </w:rPr>
        <w:t xml:space="preserve">*ONLY* </w:t>
      </w:r>
      <w:r w:rsidR="00384FB4">
        <w:rPr>
          <w:rFonts w:asciiTheme="majorHAnsi" w:hAnsiTheme="majorHAnsi" w:cstheme="majorHAnsi"/>
          <w:bCs/>
        </w:rPr>
        <w:t xml:space="preserve">contain the Financial Proposal: </w:t>
      </w:r>
    </w:p>
    <w:p w14:paraId="4458C0F5" w14:textId="77777777" w:rsidR="00384FB4" w:rsidRDefault="00384FB4" w:rsidP="00BD33F4">
      <w:pPr>
        <w:rPr>
          <w:rFonts w:asciiTheme="majorHAnsi" w:hAnsiTheme="majorHAnsi" w:cstheme="majorHAnsi"/>
          <w:bCs/>
        </w:rPr>
      </w:pPr>
    </w:p>
    <w:p w14:paraId="14F6B50E" w14:textId="7F8C07D5" w:rsidR="00384FB4" w:rsidRDefault="00384FB4" w:rsidP="001B1121">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1282E7CE" w14:textId="5E61A22F" w:rsidR="00D61F2E" w:rsidRDefault="00D61F2E" w:rsidP="00BD33F4">
      <w:pPr>
        <w:rPr>
          <w:rFonts w:asciiTheme="majorHAnsi" w:hAnsiTheme="majorHAnsi" w:cstheme="majorHAnsi"/>
          <w:bCs/>
        </w:rPr>
      </w:pPr>
    </w:p>
    <w:p w14:paraId="6297CA00" w14:textId="77777777" w:rsidR="00D61F2E" w:rsidRDefault="00D61F2E" w:rsidP="00BD33F4">
      <w:pPr>
        <w:rPr>
          <w:rFonts w:asciiTheme="majorHAnsi" w:hAnsiTheme="majorHAnsi" w:cstheme="majorHAnsi"/>
          <w:bCs/>
        </w:rPr>
      </w:pPr>
    </w:p>
    <w:p w14:paraId="0CD26CAD" w14:textId="0C3B2653" w:rsidR="002307CE" w:rsidRPr="00BF151A" w:rsidRDefault="003A5747" w:rsidP="003A5747">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5439ED48" w14:textId="7A795BD6" w:rsidR="003A5747" w:rsidRDefault="00065A2C"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w:t>
      </w:r>
      <w:r w:rsidR="003A5747" w:rsidRPr="00BF151A">
        <w:rPr>
          <w:rFonts w:asciiTheme="majorHAnsi" w:hAnsiTheme="majorHAnsi" w:cstheme="majorHAnsi"/>
        </w:rPr>
        <w:t xml:space="preserve"> that require any clarification about the tender process can refer their questions to the following address. </w:t>
      </w:r>
    </w:p>
    <w:tbl>
      <w:tblPr>
        <w:tblStyle w:val="TableGrid"/>
        <w:tblW w:w="0" w:type="auto"/>
        <w:tblInd w:w="1838" w:type="dxa"/>
        <w:tblLook w:val="04A0" w:firstRow="1" w:lastRow="0" w:firstColumn="1" w:lastColumn="0" w:noHBand="0" w:noVBand="1"/>
      </w:tblPr>
      <w:tblGrid>
        <w:gridCol w:w="5387"/>
      </w:tblGrid>
      <w:tr w:rsidR="000C3D92" w:rsidRPr="00BF151A" w14:paraId="6AA91FC4" w14:textId="77777777" w:rsidTr="00CB03F9">
        <w:tc>
          <w:tcPr>
            <w:tcW w:w="5387" w:type="dxa"/>
          </w:tcPr>
          <w:p w14:paraId="0582A6DE" w14:textId="166D8FC6" w:rsidR="000C3D92" w:rsidRPr="00B36302" w:rsidRDefault="000C3D92" w:rsidP="00B36302">
            <w:pPr>
              <w:tabs>
                <w:tab w:val="right" w:pos="7254"/>
              </w:tabs>
              <w:spacing w:after="120"/>
              <w:jc w:val="center"/>
              <w:rPr>
                <w:rFonts w:asciiTheme="majorHAnsi" w:hAnsiTheme="majorHAnsi" w:cstheme="majorHAnsi"/>
                <w:i/>
                <w:iCs/>
                <w:sz w:val="22"/>
                <w:szCs w:val="22"/>
              </w:rPr>
            </w:pPr>
            <w:r w:rsidRPr="00B36302">
              <w:rPr>
                <w:rFonts w:asciiTheme="majorHAnsi" w:hAnsiTheme="majorHAnsi" w:cstheme="majorHAnsi"/>
                <w:i/>
                <w:iCs/>
                <w:sz w:val="22"/>
                <w:szCs w:val="22"/>
              </w:rPr>
              <w:t>Tender Administrator</w:t>
            </w:r>
            <w:r w:rsidR="00B36302">
              <w:rPr>
                <w:rFonts w:asciiTheme="majorHAnsi" w:hAnsiTheme="majorHAnsi" w:cstheme="majorHAnsi"/>
                <w:i/>
                <w:iCs/>
                <w:sz w:val="22"/>
                <w:szCs w:val="22"/>
              </w:rPr>
              <w:t xml:space="preserve"> - </w:t>
            </w:r>
            <w:r w:rsidR="00541C4D" w:rsidRPr="00B36302">
              <w:rPr>
                <w:rFonts w:asciiTheme="majorHAnsi" w:hAnsiTheme="majorHAnsi" w:cstheme="majorHAnsi"/>
                <w:i/>
                <w:iCs/>
                <w:color w:val="000000" w:themeColor="text1"/>
                <w:sz w:val="22"/>
                <w:szCs w:val="22"/>
              </w:rPr>
              <w:t>Procurement Department</w:t>
            </w:r>
          </w:p>
          <w:p w14:paraId="623D7472" w14:textId="0531D715" w:rsidR="000C3D92" w:rsidRPr="00D4173B" w:rsidRDefault="000C3D92" w:rsidP="00B36302">
            <w:pPr>
              <w:tabs>
                <w:tab w:val="right" w:pos="7254"/>
              </w:tabs>
              <w:spacing w:before="120" w:after="120"/>
              <w:jc w:val="center"/>
              <w:rPr>
                <w:rFonts w:asciiTheme="majorHAnsi" w:hAnsiTheme="majorHAnsi" w:cstheme="majorHAnsi"/>
                <w:i/>
                <w:iCs/>
                <w:color w:val="4F81BD" w:themeColor="accent1"/>
              </w:rPr>
            </w:pPr>
            <w:r w:rsidRPr="00B36302">
              <w:rPr>
                <w:rFonts w:asciiTheme="majorHAnsi" w:hAnsiTheme="majorHAnsi" w:cstheme="majorHAnsi"/>
                <w:i/>
                <w:iCs/>
                <w:color w:val="4F81BD" w:themeColor="accent1"/>
                <w:sz w:val="22"/>
                <w:szCs w:val="22"/>
              </w:rPr>
              <w:t xml:space="preserve">Email: </w:t>
            </w:r>
            <w:r w:rsidR="00B36302" w:rsidRPr="00B36302">
              <w:rPr>
                <w:rFonts w:asciiTheme="majorHAnsi" w:hAnsiTheme="majorHAnsi" w:cstheme="majorHAnsi"/>
                <w:i/>
                <w:iCs/>
                <w:color w:val="0070C0"/>
                <w:sz w:val="22"/>
                <w:szCs w:val="22"/>
              </w:rPr>
              <w:t>Procurement.IQ@maginternational.org</w:t>
            </w:r>
          </w:p>
        </w:tc>
      </w:tr>
    </w:tbl>
    <w:p w14:paraId="24071406" w14:textId="519FA3D7" w:rsidR="003A5747" w:rsidRPr="00BF151A" w:rsidRDefault="00DF350E"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w:t>
      </w:r>
      <w:r w:rsidR="003A5747" w:rsidRPr="00BF151A">
        <w:rPr>
          <w:rFonts w:asciiTheme="majorHAnsi" w:hAnsiTheme="majorHAnsi" w:cstheme="majorHAnsi"/>
        </w:rPr>
        <w:t>N</w:t>
      </w:r>
      <w:r w:rsidRPr="00BF151A">
        <w:rPr>
          <w:rFonts w:asciiTheme="majorHAnsi" w:hAnsiTheme="majorHAnsi" w:cstheme="majorHAnsi"/>
        </w:rPr>
        <w:t>o</w:t>
      </w:r>
      <w:r w:rsidR="003A5747" w:rsidRPr="00BF151A">
        <w:rPr>
          <w:rFonts w:asciiTheme="majorHAnsi" w:hAnsiTheme="majorHAnsi" w:cstheme="majorHAnsi"/>
        </w:rPr>
        <w:t xml:space="preserve"> phone calls or instant messages concerning this tender will be accepted to the MAG office or to any MAG staff. </w:t>
      </w:r>
      <w:r w:rsidR="00065A2C" w:rsidRPr="00BF151A">
        <w:rPr>
          <w:rFonts w:asciiTheme="majorHAnsi" w:hAnsiTheme="majorHAnsi" w:cstheme="majorHAnsi"/>
        </w:rPr>
        <w:t>Bidders</w:t>
      </w:r>
      <w:r w:rsidR="003A5747" w:rsidRPr="00BF151A">
        <w:rPr>
          <w:rFonts w:asciiTheme="majorHAnsi" w:hAnsiTheme="majorHAnsi" w:cstheme="majorHAnsi"/>
        </w:rPr>
        <w:t xml:space="preserve"> trying to contact MAG by other means different to the provided email address will be automatically disqualified from the process.</w:t>
      </w:r>
    </w:p>
    <w:p w14:paraId="7AD1E535" w14:textId="47A21634" w:rsidR="00AC37C1" w:rsidRDefault="003A5747" w:rsidP="003A5747">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w:t>
      </w:r>
      <w:r w:rsidR="00BA69B8" w:rsidRPr="00BF151A">
        <w:rPr>
          <w:rFonts w:asciiTheme="majorHAnsi" w:hAnsiTheme="majorHAnsi" w:cstheme="majorHAnsi"/>
        </w:rPr>
        <w:t xml:space="preserve">the individual questions will </w:t>
      </w:r>
      <w:r w:rsidR="008A2575" w:rsidRPr="00BF151A">
        <w:rPr>
          <w:rFonts w:asciiTheme="majorHAnsi" w:hAnsiTheme="majorHAnsi" w:cstheme="majorHAnsi"/>
        </w:rPr>
        <w:t xml:space="preserve">be </w:t>
      </w:r>
      <w:r w:rsidR="00AC37C1" w:rsidRPr="00BF151A">
        <w:rPr>
          <w:rFonts w:asciiTheme="majorHAnsi" w:hAnsiTheme="majorHAnsi" w:cstheme="majorHAnsi"/>
        </w:rPr>
        <w:t>anonymized</w:t>
      </w:r>
      <w:r w:rsidR="00BA69B8" w:rsidRPr="00BF151A">
        <w:rPr>
          <w:rFonts w:asciiTheme="majorHAnsi" w:hAnsiTheme="majorHAnsi" w:cstheme="majorHAnsi"/>
        </w:rPr>
        <w:t xml:space="preserve"> and be shared </w:t>
      </w:r>
      <w:r w:rsidR="00E05202">
        <w:rPr>
          <w:rFonts w:asciiTheme="majorHAnsi" w:hAnsiTheme="majorHAnsi" w:cstheme="majorHAnsi"/>
        </w:rPr>
        <w:t>back to all bidders that have submitted a proposal.</w:t>
      </w:r>
      <w:r w:rsidR="008A2575" w:rsidRPr="00BF151A">
        <w:rPr>
          <w:rFonts w:asciiTheme="majorHAnsi" w:hAnsiTheme="majorHAnsi" w:cstheme="majorHAnsi"/>
        </w:rPr>
        <w:t xml:space="preserve"> </w:t>
      </w:r>
    </w:p>
    <w:p w14:paraId="44621D43" w14:textId="373C0063" w:rsidR="00D4173B" w:rsidRDefault="00D4173B" w:rsidP="00D4173B">
      <w:pPr>
        <w:rPr>
          <w:rFonts w:asciiTheme="majorHAnsi" w:hAnsiTheme="majorHAnsi" w:cstheme="majorHAnsi"/>
          <w:bCs/>
        </w:rPr>
      </w:pPr>
      <w:r w:rsidRPr="00BF151A">
        <w:rPr>
          <w:rFonts w:asciiTheme="majorHAnsi" w:hAnsiTheme="majorHAnsi" w:cstheme="majorHAnsi"/>
          <w:b/>
        </w:rPr>
        <w:t xml:space="preserve">Tender Submission </w:t>
      </w:r>
      <w:r>
        <w:rPr>
          <w:rFonts w:asciiTheme="majorHAnsi" w:hAnsiTheme="majorHAnsi" w:cstheme="majorHAnsi"/>
          <w:b/>
        </w:rPr>
        <w:t>by email</w:t>
      </w:r>
    </w:p>
    <w:p w14:paraId="030962C5" w14:textId="77777777" w:rsidR="00D4173B" w:rsidRDefault="00D4173B" w:rsidP="00D4173B">
      <w:pPr>
        <w:rPr>
          <w:rFonts w:asciiTheme="majorHAnsi" w:hAnsiTheme="majorHAnsi" w:cstheme="majorHAnsi"/>
          <w:bCs/>
        </w:rPr>
      </w:pPr>
    </w:p>
    <w:p w14:paraId="1A1EC15D" w14:textId="77777777" w:rsidR="00D4173B" w:rsidRPr="00B36302" w:rsidRDefault="00D4173B" w:rsidP="00D4173B">
      <w:pPr>
        <w:rPr>
          <w:rFonts w:asciiTheme="majorHAnsi" w:hAnsiTheme="majorHAnsi" w:cstheme="majorHAnsi"/>
          <w:b/>
        </w:rPr>
      </w:pPr>
      <w:r w:rsidRPr="00B36302">
        <w:rPr>
          <w:rFonts w:asciiTheme="majorHAnsi" w:hAnsiTheme="majorHAnsi" w:cstheme="majorHAnsi"/>
          <w:b/>
        </w:rPr>
        <w:t xml:space="preserve">The default method for tender submission is by email to: </w:t>
      </w:r>
      <w:r w:rsidRPr="00B36302">
        <w:rPr>
          <w:rFonts w:asciiTheme="majorHAnsi" w:hAnsiTheme="majorHAnsi" w:cstheme="majorHAnsi"/>
          <w:b/>
          <w:i/>
          <w:iCs/>
          <w:color w:val="0070C0"/>
        </w:rPr>
        <w:t>Tender.magiraq@maginternational.org</w:t>
      </w:r>
      <w:r w:rsidRPr="00B36302">
        <w:rPr>
          <w:rFonts w:asciiTheme="majorHAnsi" w:hAnsiTheme="majorHAnsi" w:cstheme="majorHAnsi"/>
          <w:b/>
        </w:rPr>
        <w:t xml:space="preserve"> </w:t>
      </w:r>
    </w:p>
    <w:p w14:paraId="28ECBD31" w14:textId="77777777" w:rsidR="00D4173B" w:rsidRDefault="00D4173B" w:rsidP="00D4173B">
      <w:pPr>
        <w:rPr>
          <w:rFonts w:asciiTheme="majorHAnsi" w:hAnsiTheme="majorHAnsi" w:cstheme="majorHAnsi"/>
          <w:bCs/>
        </w:rPr>
      </w:pPr>
    </w:p>
    <w:p w14:paraId="1D22D852" w14:textId="77777777" w:rsidR="00D4173B" w:rsidRPr="00BF151A" w:rsidRDefault="00D4173B" w:rsidP="00D4173B">
      <w:pPr>
        <w:rPr>
          <w:rFonts w:asciiTheme="majorHAnsi" w:hAnsiTheme="majorHAnsi" w:cstheme="majorHAnsi"/>
          <w:bCs/>
        </w:rPr>
      </w:pPr>
      <w:r>
        <w:rPr>
          <w:rFonts w:asciiTheme="majorHAnsi" w:hAnsiTheme="majorHAnsi" w:cstheme="majorHAnsi"/>
          <w:bCs/>
        </w:rPr>
        <w:t>See below the instructions for paper submission.</w:t>
      </w:r>
    </w:p>
    <w:p w14:paraId="5CD17B42" w14:textId="77777777" w:rsidR="00D4173B" w:rsidRPr="00BF151A" w:rsidRDefault="00D4173B" w:rsidP="00D4173B">
      <w:pPr>
        <w:rPr>
          <w:rFonts w:asciiTheme="majorHAnsi" w:hAnsiTheme="majorHAnsi" w:cstheme="majorHAnsi"/>
          <w:bCs/>
        </w:rPr>
      </w:pPr>
    </w:p>
    <w:p w14:paraId="6B727907" w14:textId="77777777" w:rsidR="00D4173B" w:rsidRPr="00BF151A" w:rsidRDefault="00D4173B" w:rsidP="00D4173B">
      <w:pPr>
        <w:jc w:val="center"/>
        <w:rPr>
          <w:rFonts w:asciiTheme="majorHAnsi" w:hAnsiTheme="majorHAnsi" w:cstheme="majorBidi"/>
          <w:color w:val="FF0000"/>
          <w:highlight w:val="yellow"/>
        </w:rPr>
      </w:pPr>
    </w:p>
    <w:p w14:paraId="2199EA85" w14:textId="77777777" w:rsidR="00D4173B" w:rsidRPr="00BF151A" w:rsidRDefault="00D4173B" w:rsidP="00D4173B">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28C6B63A" w14:textId="77777777" w:rsidR="00D4173B" w:rsidRPr="00BF151A" w:rsidRDefault="00D4173B" w:rsidP="00D4173B">
      <w:pPr>
        <w:rPr>
          <w:rFonts w:asciiTheme="majorHAnsi" w:hAnsiTheme="majorHAnsi" w:cstheme="majorHAnsi"/>
          <w:b/>
        </w:rPr>
      </w:pPr>
    </w:p>
    <w:p w14:paraId="6A49949A" w14:textId="77777777" w:rsidR="00D4173B" w:rsidRDefault="00D4173B" w:rsidP="00D4173B">
      <w:pPr>
        <w:pStyle w:val="ListParagraph"/>
        <w:numPr>
          <w:ilvl w:val="0"/>
          <w:numId w:val="11"/>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3D6C75E" w14:textId="77777777" w:rsidR="00D4173B" w:rsidRDefault="00D4173B" w:rsidP="00D4173B">
      <w:pPr>
        <w:pStyle w:val="ListParagraph"/>
        <w:numPr>
          <w:ilvl w:val="1"/>
          <w:numId w:val="11"/>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1AB1873" w14:textId="77777777" w:rsidR="00D4173B" w:rsidRPr="00AA66A6" w:rsidRDefault="00D4173B" w:rsidP="00D4173B">
      <w:pPr>
        <w:pStyle w:val="ListParagraph"/>
        <w:numPr>
          <w:ilvl w:val="1"/>
          <w:numId w:val="11"/>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1BD5A934" w14:textId="77777777" w:rsidR="00D4173B" w:rsidRDefault="00D4173B" w:rsidP="00D4173B">
      <w:pPr>
        <w:pStyle w:val="ListParagraph"/>
        <w:spacing w:after="120"/>
        <w:rPr>
          <w:rFonts w:asciiTheme="majorHAnsi" w:hAnsiTheme="majorHAnsi" w:cstheme="majorHAnsi"/>
        </w:rPr>
      </w:pPr>
    </w:p>
    <w:p w14:paraId="6EC8F6EC" w14:textId="77777777" w:rsidR="00D4173B" w:rsidRPr="00BF151A" w:rsidRDefault="00D4173B" w:rsidP="00D4173B">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2EB5B412" w14:textId="49263858" w:rsidR="00D4173B" w:rsidRPr="005577B8" w:rsidRDefault="00D4173B" w:rsidP="00D4173B">
      <w:pPr>
        <w:pStyle w:val="ListParagraph"/>
        <w:numPr>
          <w:ilvl w:val="1"/>
          <w:numId w:val="2"/>
        </w:numPr>
        <w:spacing w:after="12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w:t>
      </w:r>
      <w:r w:rsidR="001B2E97" w:rsidRPr="005577B8">
        <w:rPr>
          <w:rFonts w:asciiTheme="majorHAnsi" w:hAnsiTheme="majorHAnsi" w:cstheme="majorHAnsi"/>
          <w:color w:val="FF0000"/>
          <w:lang w:val="en-US"/>
        </w:rPr>
        <w:t xml:space="preserve">Provision of </w:t>
      </w:r>
      <w:r w:rsidR="001B2E97">
        <w:rPr>
          <w:rFonts w:asciiTheme="majorHAnsi" w:hAnsiTheme="majorHAnsi" w:cstheme="majorHAnsi"/>
          <w:color w:val="FF0000"/>
          <w:lang w:val="en-US"/>
        </w:rPr>
        <w:t>Audit Services</w:t>
      </w:r>
      <w:r w:rsidR="001B2E97" w:rsidRPr="005577B8">
        <w:rPr>
          <w:rFonts w:asciiTheme="majorHAnsi" w:hAnsiTheme="majorHAnsi" w:cstheme="majorHAnsi"/>
          <w:color w:val="FF0000"/>
        </w:rPr>
        <w:t>-</w:t>
      </w:r>
      <w:r w:rsidR="001B2E97" w:rsidRPr="005577B8">
        <w:rPr>
          <w:rFonts w:asciiTheme="majorHAnsi" w:hAnsiTheme="majorHAnsi" w:cstheme="majorHAnsi"/>
          <w:color w:val="FF0000"/>
          <w:lang w:val="en-US"/>
        </w:rPr>
        <w:t>0</w:t>
      </w:r>
      <w:r w:rsidR="00E0699A">
        <w:rPr>
          <w:rFonts w:asciiTheme="majorHAnsi" w:hAnsiTheme="majorHAnsi" w:cstheme="majorHAnsi"/>
          <w:color w:val="FF0000"/>
          <w:lang w:val="en-US"/>
        </w:rPr>
        <w:t>21-01</w:t>
      </w:r>
      <w:proofErr w:type="spellStart"/>
      <w:r w:rsidRPr="005577B8">
        <w:rPr>
          <w:rFonts w:asciiTheme="majorHAnsi" w:hAnsiTheme="majorHAnsi" w:cstheme="majorHAnsi"/>
          <w:color w:val="FF0000"/>
          <w:vertAlign w:val="superscript"/>
        </w:rPr>
        <w:t>st</w:t>
      </w:r>
      <w:proofErr w:type="spellEnd"/>
      <w:r w:rsidRPr="005577B8">
        <w:rPr>
          <w:rFonts w:asciiTheme="majorHAnsi" w:hAnsiTheme="majorHAnsi" w:cstheme="majorHAnsi"/>
          <w:color w:val="FF0000"/>
        </w:rPr>
        <w:t xml:space="preserve"> SUBMISSION</w:t>
      </w:r>
    </w:p>
    <w:p w14:paraId="61A1E818" w14:textId="47E5A894" w:rsidR="001B2E97" w:rsidRPr="001B2E97" w:rsidRDefault="00D4173B" w:rsidP="00580AC0">
      <w:pPr>
        <w:pStyle w:val="ListParagraph"/>
        <w:numPr>
          <w:ilvl w:val="0"/>
          <w:numId w:val="4"/>
        </w:numPr>
        <w:spacing w:after="120"/>
        <w:contextualSpacing w:val="0"/>
        <w:rPr>
          <w:rFonts w:asciiTheme="majorHAnsi" w:hAnsiTheme="majorHAnsi" w:cstheme="majorBidi"/>
        </w:rPr>
      </w:pPr>
      <w:r w:rsidRPr="001B2E97">
        <w:rPr>
          <w:rFonts w:asciiTheme="majorHAnsi" w:hAnsiTheme="majorHAnsi" w:cstheme="majorHAnsi"/>
          <w:bCs/>
        </w:rPr>
        <w:t>Financial proposal:</w:t>
      </w:r>
      <w:r w:rsidRPr="001B2E97">
        <w:rPr>
          <w:rFonts w:asciiTheme="majorHAnsi" w:hAnsiTheme="majorHAnsi" w:cstheme="majorHAnsi"/>
          <w:color w:val="FF0000"/>
          <w:lang w:val="en-US"/>
        </w:rPr>
        <w:t xml:space="preserve"> </w:t>
      </w:r>
      <w:r w:rsidR="001B2E97" w:rsidRPr="001B2E97">
        <w:rPr>
          <w:rFonts w:asciiTheme="majorHAnsi" w:hAnsiTheme="majorHAnsi" w:cstheme="majorHAnsi"/>
          <w:color w:val="FF0000"/>
          <w:lang w:val="en-US"/>
        </w:rPr>
        <w:t>Provision of Audit Services</w:t>
      </w:r>
      <w:r w:rsidR="001B2E97" w:rsidRPr="001B2E97">
        <w:rPr>
          <w:rFonts w:asciiTheme="majorHAnsi" w:hAnsiTheme="majorHAnsi" w:cstheme="majorHAnsi"/>
          <w:color w:val="FF0000"/>
        </w:rPr>
        <w:t>-</w:t>
      </w:r>
      <w:r w:rsidR="00E0699A">
        <w:rPr>
          <w:rFonts w:asciiTheme="majorHAnsi" w:hAnsiTheme="majorHAnsi" w:cstheme="majorHAnsi"/>
          <w:color w:val="FF0000"/>
          <w:lang w:val="en-US"/>
        </w:rPr>
        <w:t>21</w:t>
      </w:r>
      <w:r w:rsidRPr="001B2E97">
        <w:rPr>
          <w:rFonts w:asciiTheme="majorHAnsi" w:hAnsiTheme="majorHAnsi" w:cstheme="majorHAnsi"/>
          <w:color w:val="FF0000"/>
        </w:rPr>
        <w:t>-</w:t>
      </w:r>
      <w:r w:rsidR="00E0699A">
        <w:rPr>
          <w:rFonts w:asciiTheme="majorHAnsi" w:hAnsiTheme="majorHAnsi" w:cstheme="majorHAnsi"/>
          <w:color w:val="FF0000"/>
        </w:rPr>
        <w:t>2</w:t>
      </w:r>
      <w:r w:rsidR="00E0699A" w:rsidRPr="00E0699A">
        <w:rPr>
          <w:rFonts w:asciiTheme="majorHAnsi" w:hAnsiTheme="majorHAnsi" w:cstheme="majorHAnsi"/>
          <w:color w:val="FF0000"/>
          <w:vertAlign w:val="superscript"/>
        </w:rPr>
        <w:t>nd</w:t>
      </w:r>
      <w:r w:rsidR="00E0699A">
        <w:rPr>
          <w:rFonts w:asciiTheme="majorHAnsi" w:hAnsiTheme="majorHAnsi" w:cstheme="majorHAnsi"/>
          <w:color w:val="FF0000"/>
        </w:rPr>
        <w:t xml:space="preserve"> </w:t>
      </w:r>
      <w:r w:rsidRPr="001B2E97">
        <w:rPr>
          <w:rFonts w:asciiTheme="majorHAnsi" w:hAnsiTheme="majorHAnsi" w:cstheme="majorHAnsi"/>
          <w:color w:val="FF0000"/>
        </w:rPr>
        <w:t>FINANCIAL PROPOSAL</w:t>
      </w:r>
    </w:p>
    <w:p w14:paraId="5B799D88" w14:textId="07B2638E" w:rsidR="00D4173B" w:rsidRPr="001B2E97" w:rsidRDefault="00D4173B" w:rsidP="00580AC0">
      <w:pPr>
        <w:pStyle w:val="ListParagraph"/>
        <w:numPr>
          <w:ilvl w:val="0"/>
          <w:numId w:val="4"/>
        </w:numPr>
        <w:spacing w:after="120"/>
        <w:contextualSpacing w:val="0"/>
        <w:rPr>
          <w:rFonts w:asciiTheme="majorHAnsi" w:hAnsiTheme="majorHAnsi" w:cstheme="majorBidi"/>
        </w:rPr>
      </w:pPr>
      <w:r w:rsidRPr="001B2E97">
        <w:rPr>
          <w:rFonts w:asciiTheme="majorHAnsi" w:hAnsiTheme="majorHAnsi" w:cstheme="majorBidi"/>
        </w:rPr>
        <w:t>The attachments can be sent in a compressed format. Only ZIP and RAR are accepted.</w:t>
      </w:r>
    </w:p>
    <w:p w14:paraId="639D55C7" w14:textId="77777777" w:rsidR="00D4173B" w:rsidRDefault="00D4173B" w:rsidP="00D4173B">
      <w:pPr>
        <w:pStyle w:val="ListParagraph"/>
        <w:numPr>
          <w:ilvl w:val="0"/>
          <w:numId w:val="4"/>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25F0984C" w14:textId="77777777" w:rsidR="00D4173B" w:rsidRDefault="00D4173B" w:rsidP="00D4173B">
      <w:pPr>
        <w:pStyle w:val="ListParagraph"/>
        <w:numPr>
          <w:ilvl w:val="0"/>
          <w:numId w:val="4"/>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1A0F6FC2" w14:textId="77777777" w:rsidR="00D4173B" w:rsidRDefault="00D4173B" w:rsidP="00D4173B">
      <w:pPr>
        <w:rPr>
          <w:rFonts w:asciiTheme="majorHAnsi" w:hAnsiTheme="majorHAnsi" w:cstheme="majorHAnsi"/>
        </w:rPr>
      </w:pPr>
    </w:p>
    <w:p w14:paraId="5D3F1847" w14:textId="77777777" w:rsidR="00D4173B" w:rsidRPr="00BF151A" w:rsidRDefault="00D4173B" w:rsidP="00D4173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2E97">
        <w:rPr>
          <w:rFonts w:asciiTheme="majorHAnsi" w:hAnsiTheme="majorHAnsi" w:cstheme="majorBidi"/>
        </w:rPr>
        <w:t>immediate disqualification of the bidder</w:t>
      </w:r>
      <w:r w:rsidRPr="08F7C9AA">
        <w:rPr>
          <w:rFonts w:cstheme="majorBidi"/>
        </w:rPr>
        <w:t>.</w:t>
      </w:r>
    </w:p>
    <w:p w14:paraId="58933B7A" w14:textId="77777777" w:rsidR="00D4173B" w:rsidRPr="00BF151A" w:rsidRDefault="00D4173B" w:rsidP="00D4173B">
      <w:pPr>
        <w:pStyle w:val="ListParagraph"/>
        <w:rPr>
          <w:rFonts w:asciiTheme="majorHAnsi" w:hAnsiTheme="majorHAnsi" w:cstheme="majorHAnsi"/>
        </w:rPr>
      </w:pPr>
    </w:p>
    <w:p w14:paraId="19825929" w14:textId="13E7A53E" w:rsidR="00AC37C1" w:rsidRDefault="00AC37C1" w:rsidP="00AC37C1">
      <w:pPr>
        <w:rPr>
          <w:rFonts w:asciiTheme="majorHAnsi" w:hAnsiTheme="majorHAnsi" w:cstheme="majorHAnsi"/>
          <w:b/>
        </w:rPr>
      </w:pPr>
    </w:p>
    <w:p w14:paraId="38BAF5BE" w14:textId="77777777" w:rsidR="00D4173B" w:rsidRPr="00BF151A" w:rsidRDefault="00D4173B" w:rsidP="00AC37C1">
      <w:pPr>
        <w:rPr>
          <w:rFonts w:asciiTheme="majorHAnsi" w:hAnsiTheme="majorHAnsi" w:cstheme="majorHAnsi"/>
          <w:b/>
        </w:rPr>
      </w:pPr>
    </w:p>
    <w:p w14:paraId="69802B1E" w14:textId="79F0C38F" w:rsidR="00AC37C1" w:rsidRPr="00BF151A" w:rsidRDefault="00AC37C1" w:rsidP="00D4173B">
      <w:pPr>
        <w:rPr>
          <w:rFonts w:asciiTheme="majorHAnsi" w:hAnsiTheme="majorHAnsi" w:cstheme="majorHAnsi"/>
          <w:b/>
        </w:rPr>
      </w:pPr>
      <w:r w:rsidRPr="00BF151A">
        <w:rPr>
          <w:rFonts w:asciiTheme="majorHAnsi" w:hAnsiTheme="majorHAnsi" w:cstheme="majorHAnsi"/>
          <w:b/>
        </w:rPr>
        <w:t>Tender Submission in Paper</w:t>
      </w:r>
    </w:p>
    <w:p w14:paraId="4D3522C3" w14:textId="1FFB92F8" w:rsidR="004369EC" w:rsidRPr="00D4173B" w:rsidRDefault="004369EC" w:rsidP="004369EC">
      <w:pPr>
        <w:rPr>
          <w:rFonts w:asciiTheme="majorHAnsi" w:hAnsiTheme="majorHAnsi" w:cstheme="majorHAnsi"/>
        </w:rPr>
      </w:pPr>
      <w:r w:rsidRPr="00D4173B">
        <w:rPr>
          <w:rFonts w:asciiTheme="majorHAnsi" w:hAnsiTheme="majorHAnsi" w:cstheme="majorHAnsi"/>
        </w:rPr>
        <w:t>Address for documents submission</w:t>
      </w:r>
    </w:p>
    <w:p w14:paraId="0A8363C5" w14:textId="77777777" w:rsidR="004369EC" w:rsidRPr="00BF151A" w:rsidRDefault="004369EC" w:rsidP="004369EC">
      <w:pPr>
        <w:rPr>
          <w:rFonts w:asciiTheme="majorHAnsi" w:hAnsiTheme="majorHAnsi" w:cstheme="majorHAnsi"/>
          <w:b/>
          <w:bCs/>
        </w:rPr>
      </w:pPr>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tblGrid>
      <w:tr w:rsidR="00F62D3A" w:rsidRPr="00BF151A" w14:paraId="1823484C" w14:textId="77777777" w:rsidTr="00D4173B">
        <w:trPr>
          <w:trHeight w:val="1926"/>
          <w:jc w:val="center"/>
        </w:trPr>
        <w:tc>
          <w:tcPr>
            <w:tcW w:w="5000" w:type="pct"/>
            <w:shd w:val="clear" w:color="auto" w:fill="auto"/>
          </w:tcPr>
          <w:p w14:paraId="42501303" w14:textId="7FCD2218" w:rsidR="00F62D3A" w:rsidRPr="00E33062" w:rsidRDefault="00F62D3A" w:rsidP="003D426E">
            <w:pPr>
              <w:pStyle w:val="NoSpacing"/>
              <w:rPr>
                <w:rFonts w:asciiTheme="majorHAnsi" w:hAnsiTheme="majorHAnsi" w:cstheme="majorHAnsi"/>
                <w:color w:val="FF0000"/>
                <w:sz w:val="24"/>
                <w:szCs w:val="24"/>
                <w:lang w:val="en-GB"/>
              </w:rPr>
            </w:pPr>
            <w:r w:rsidRPr="00D4173B">
              <w:rPr>
                <w:rFonts w:asciiTheme="majorHAnsi" w:hAnsiTheme="majorHAnsi" w:cstheme="majorHAnsi"/>
                <w:color w:val="FF0000"/>
                <w:sz w:val="24"/>
                <w:szCs w:val="24"/>
                <w:lang w:val="en-GB"/>
              </w:rPr>
              <w:t xml:space="preserve">MAG OFFICE LOCATION </w:t>
            </w:r>
          </w:p>
          <w:p w14:paraId="32DCFBF7" w14:textId="753D0E07" w:rsidR="00F62D3A" w:rsidRPr="00BF151A" w:rsidRDefault="00F62D3A" w:rsidP="003D426E">
            <w:pPr>
              <w:pStyle w:val="NoSpacing"/>
              <w:rPr>
                <w:rFonts w:asciiTheme="majorHAnsi" w:hAnsiTheme="majorHAnsi" w:cstheme="majorHAnsi"/>
                <w:sz w:val="24"/>
                <w:szCs w:val="24"/>
                <w:lang w:val="en-GB"/>
              </w:rPr>
            </w:pPr>
            <w:r w:rsidRPr="00BF151A">
              <w:rPr>
                <w:rFonts w:asciiTheme="majorHAnsi" w:hAnsiTheme="majorHAnsi" w:cstheme="majorHAnsi"/>
                <w:sz w:val="24"/>
                <w:szCs w:val="24"/>
                <w:lang w:val="en-GB"/>
              </w:rPr>
              <w:t xml:space="preserve">The tender committee </w:t>
            </w:r>
          </w:p>
          <w:p w14:paraId="62BAF065" w14:textId="23C62ACC" w:rsidR="00F62D3A" w:rsidRPr="00D4173B" w:rsidRDefault="00F62D3A" w:rsidP="003D426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0464AB08" w14:textId="2DD9F38A" w:rsidR="00F62D3A" w:rsidRPr="00D4173B" w:rsidRDefault="00F62D3A" w:rsidP="003D426E">
            <w:pPr>
              <w:pStyle w:val="NoSpacing"/>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Erbil Head Office</w:t>
            </w:r>
          </w:p>
          <w:p w14:paraId="367BAE9E" w14:textId="5D31F1C2" w:rsidR="00F62D3A" w:rsidRPr="00BF151A" w:rsidRDefault="00F62D3A" w:rsidP="003D426E">
            <w:pPr>
              <w:pStyle w:val="NoSpacing"/>
              <w:rPr>
                <w:rFonts w:asciiTheme="majorHAnsi" w:hAnsiTheme="majorHAnsi" w:cstheme="majorHAnsi"/>
                <w:sz w:val="24"/>
                <w:szCs w:val="24"/>
                <w:lang w:val="en-GB"/>
              </w:rPr>
            </w:pPr>
            <w:proofErr w:type="spellStart"/>
            <w:r w:rsidRPr="00D4173B">
              <w:rPr>
                <w:rFonts w:asciiTheme="majorHAnsi" w:hAnsiTheme="majorHAnsi" w:cstheme="majorHAnsi"/>
                <w:sz w:val="24"/>
                <w:szCs w:val="24"/>
                <w:lang w:val="en-GB"/>
              </w:rPr>
              <w:t>Ashtar</w:t>
            </w:r>
            <w:proofErr w:type="spellEnd"/>
            <w:r w:rsidRPr="00D4173B">
              <w:rPr>
                <w:rFonts w:asciiTheme="majorHAnsi" w:hAnsiTheme="majorHAnsi" w:cstheme="majorHAnsi"/>
                <w:sz w:val="24"/>
                <w:szCs w:val="24"/>
                <w:lang w:val="en-GB"/>
              </w:rPr>
              <w:t xml:space="preserve"> Area </w:t>
            </w:r>
            <w:proofErr w:type="spellStart"/>
            <w:r w:rsidRPr="00D4173B">
              <w:rPr>
                <w:rFonts w:asciiTheme="majorHAnsi" w:hAnsiTheme="majorHAnsi" w:cstheme="majorHAnsi"/>
                <w:sz w:val="24"/>
                <w:szCs w:val="24"/>
                <w:lang w:val="en-GB"/>
              </w:rPr>
              <w:t>Ainkawa</w:t>
            </w:r>
            <w:proofErr w:type="spellEnd"/>
            <w:r w:rsidRPr="00D4173B">
              <w:rPr>
                <w:rFonts w:asciiTheme="majorHAnsi" w:hAnsiTheme="majorHAnsi" w:cstheme="majorHAnsi"/>
                <w:sz w:val="24"/>
                <w:szCs w:val="24"/>
                <w:lang w:val="en-GB"/>
              </w:rPr>
              <w:t>, 245/ 2/ 394, Erbil – Iraq</w:t>
            </w:r>
          </w:p>
        </w:tc>
      </w:tr>
    </w:tbl>
    <w:p w14:paraId="11CC5276" w14:textId="77777777" w:rsidR="00AC37C1" w:rsidRPr="00BF151A" w:rsidRDefault="00AC37C1" w:rsidP="00AC37C1">
      <w:pPr>
        <w:rPr>
          <w:rFonts w:asciiTheme="majorHAnsi" w:hAnsiTheme="majorHAnsi" w:cstheme="majorHAnsi"/>
          <w:b/>
        </w:rPr>
      </w:pPr>
    </w:p>
    <w:p w14:paraId="66842167" w14:textId="1E76BB22" w:rsidR="00AC37C1" w:rsidRPr="00BF151A" w:rsidRDefault="00AC37C1" w:rsidP="00AC37C1">
      <w:pPr>
        <w:rPr>
          <w:rFonts w:asciiTheme="majorHAnsi" w:hAnsiTheme="majorHAnsi" w:cstheme="majorHAnsi"/>
          <w:b/>
        </w:rPr>
      </w:pPr>
      <w:r w:rsidRPr="00BF151A">
        <w:rPr>
          <w:rFonts w:asciiTheme="majorHAnsi" w:hAnsiTheme="majorHAnsi" w:cstheme="majorHAnsi"/>
          <w:b/>
        </w:rPr>
        <w:t xml:space="preserve">Envelope </w:t>
      </w:r>
      <w:r w:rsidR="00D4173B" w:rsidRPr="00BF151A">
        <w:rPr>
          <w:rFonts w:asciiTheme="majorHAnsi" w:hAnsiTheme="majorHAnsi" w:cstheme="majorHAnsi"/>
          <w:b/>
        </w:rPr>
        <w:t>Preparing</w:t>
      </w:r>
    </w:p>
    <w:p w14:paraId="76025085" w14:textId="77777777" w:rsidR="00AC37C1" w:rsidRPr="00BF151A" w:rsidRDefault="00AC37C1" w:rsidP="00AC37C1">
      <w:pPr>
        <w:rPr>
          <w:rFonts w:asciiTheme="majorHAnsi" w:hAnsiTheme="majorHAnsi" w:cstheme="majorHAnsi"/>
          <w:b/>
        </w:rPr>
      </w:pPr>
    </w:p>
    <w:p w14:paraId="7DE65CC0" w14:textId="628B0491" w:rsidR="0056656B" w:rsidRPr="00D4173B" w:rsidRDefault="00E33062" w:rsidP="00D4173B">
      <w:pPr>
        <w:pStyle w:val="ListParagraph"/>
        <w:numPr>
          <w:ilvl w:val="0"/>
          <w:numId w:val="10"/>
        </w:numPr>
        <w:rPr>
          <w:rFonts w:asciiTheme="majorHAnsi" w:hAnsiTheme="majorHAnsi" w:cstheme="majorHAnsi"/>
        </w:rPr>
      </w:pPr>
      <w:r>
        <w:rPr>
          <w:rFonts w:asciiTheme="majorHAnsi" w:hAnsiTheme="majorHAnsi" w:cstheme="majorHAnsi"/>
        </w:rPr>
        <w:t xml:space="preserve">The submission must be done in </w:t>
      </w:r>
      <w:r w:rsidR="00025DEE">
        <w:rPr>
          <w:rFonts w:asciiTheme="majorHAnsi" w:hAnsiTheme="majorHAnsi" w:cstheme="majorHAnsi"/>
        </w:rPr>
        <w:t>separated</w:t>
      </w:r>
      <w:r>
        <w:rPr>
          <w:rFonts w:asciiTheme="majorHAnsi" w:hAnsiTheme="majorHAnsi" w:cstheme="majorHAnsi"/>
        </w:rPr>
        <w:t xml:space="preserve"> sealed envelopes.</w:t>
      </w:r>
      <w:r w:rsidR="00025DEE">
        <w:rPr>
          <w:rFonts w:asciiTheme="majorHAnsi" w:hAnsiTheme="majorHAnsi" w:cstheme="majorHAnsi"/>
        </w:rPr>
        <w:t xml:space="preserve"> The envelopes must be label as follows:</w:t>
      </w:r>
    </w:p>
    <w:p w14:paraId="3FB4DD84" w14:textId="77777777" w:rsidR="00025DEE" w:rsidRDefault="00025DEE" w:rsidP="00025DEE">
      <w:pPr>
        <w:pStyle w:val="ListParagraph"/>
        <w:rPr>
          <w:rFonts w:asciiTheme="majorHAnsi" w:hAnsiTheme="majorHAnsi" w:cstheme="majorHAnsi"/>
        </w:rPr>
      </w:pPr>
    </w:p>
    <w:tbl>
      <w:tblPr>
        <w:tblStyle w:val="TableGrid"/>
        <w:tblW w:w="0" w:type="auto"/>
        <w:tblInd w:w="720" w:type="dxa"/>
        <w:tblLook w:val="04A0" w:firstRow="1" w:lastRow="0" w:firstColumn="1" w:lastColumn="0" w:noHBand="0" w:noVBand="1"/>
      </w:tblPr>
      <w:tblGrid>
        <w:gridCol w:w="4462"/>
        <w:gridCol w:w="4440"/>
      </w:tblGrid>
      <w:tr w:rsidR="00025DEE" w14:paraId="79C1819D" w14:textId="77777777" w:rsidTr="00025DEE">
        <w:trPr>
          <w:trHeight w:val="1042"/>
        </w:trPr>
        <w:tc>
          <w:tcPr>
            <w:tcW w:w="4811" w:type="dxa"/>
            <w:vAlign w:val="center"/>
          </w:tcPr>
          <w:p w14:paraId="090233CB" w14:textId="1375DEA1"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BEA7DF0" w14:textId="77777777" w:rsidR="00025DEE" w:rsidRDefault="00025DEE" w:rsidP="00025DEE">
            <w:pPr>
              <w:pStyle w:val="ListParagraph"/>
              <w:ind w:left="0"/>
              <w:jc w:val="center"/>
              <w:rPr>
                <w:rFonts w:asciiTheme="majorHAnsi" w:hAnsiTheme="majorHAnsi" w:cstheme="majorHAnsi"/>
              </w:rPr>
            </w:pPr>
          </w:p>
          <w:p w14:paraId="5B4E70F3" w14:textId="54248C7D" w:rsidR="00025DEE" w:rsidRPr="001B2E97" w:rsidRDefault="001B2E97" w:rsidP="00025DEE">
            <w:pPr>
              <w:pStyle w:val="ListParagraph"/>
              <w:ind w:left="0"/>
              <w:jc w:val="center"/>
              <w:rPr>
                <w:rFonts w:asciiTheme="majorHAnsi" w:hAnsiTheme="majorHAnsi" w:cstheme="majorHAnsi"/>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sidR="00E0699A">
              <w:rPr>
                <w:sz w:val="22"/>
                <w:szCs w:val="22"/>
              </w:rPr>
              <w:t>4</w:t>
            </w:r>
            <w:r w:rsidRPr="001B2E97">
              <w:rPr>
                <w:sz w:val="22"/>
                <w:szCs w:val="22"/>
              </w:rPr>
              <w:t>-IQ-EHO-0</w:t>
            </w:r>
            <w:r w:rsidR="00E0699A">
              <w:rPr>
                <w:sz w:val="22"/>
                <w:szCs w:val="22"/>
              </w:rPr>
              <w:t>21</w:t>
            </w:r>
          </w:p>
        </w:tc>
        <w:tc>
          <w:tcPr>
            <w:tcW w:w="4811" w:type="dxa"/>
            <w:vAlign w:val="center"/>
          </w:tcPr>
          <w:p w14:paraId="1E605136" w14:textId="09696F05" w:rsidR="00025DEE" w:rsidRDefault="00025DEE" w:rsidP="00025DEE">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2CD4BFED" w14:textId="77777777" w:rsidR="00025DEE" w:rsidRDefault="00025DEE" w:rsidP="00025DEE">
            <w:pPr>
              <w:pStyle w:val="ListParagraph"/>
              <w:ind w:left="0"/>
              <w:jc w:val="center"/>
              <w:rPr>
                <w:rFonts w:asciiTheme="majorHAnsi" w:hAnsiTheme="majorHAnsi" w:cstheme="majorHAnsi"/>
              </w:rPr>
            </w:pPr>
          </w:p>
          <w:p w14:paraId="6B5011A3" w14:textId="1B17C3B7" w:rsidR="00025DEE" w:rsidRPr="00025DEE" w:rsidRDefault="001B2E97" w:rsidP="00025DEE">
            <w:pPr>
              <w:pStyle w:val="ListParagraph"/>
              <w:ind w:left="0"/>
              <w:jc w:val="center"/>
              <w:rPr>
                <w:rFonts w:asciiTheme="majorHAnsi" w:hAnsiTheme="majorHAnsi" w:cstheme="majorHAnsi"/>
                <w:color w:val="FF0000"/>
              </w:rPr>
            </w:pPr>
            <w:r>
              <w:rPr>
                <w:sz w:val="22"/>
                <w:szCs w:val="22"/>
              </w:rPr>
              <w:t>Audit Services</w:t>
            </w:r>
            <w:r w:rsidRPr="001B2E97">
              <w:rPr>
                <w:sz w:val="22"/>
                <w:szCs w:val="22"/>
              </w:rPr>
              <w:t xml:space="preserve"> -</w:t>
            </w:r>
            <w:r w:rsidRPr="001B2E97">
              <w:rPr>
                <w:rFonts w:asciiTheme="majorHAnsi" w:hAnsiTheme="majorHAnsi" w:cstheme="majorBidi"/>
                <w:sz w:val="22"/>
                <w:szCs w:val="22"/>
              </w:rPr>
              <w:t xml:space="preserve"> </w:t>
            </w:r>
            <w:r w:rsidRPr="001B2E97">
              <w:rPr>
                <w:sz w:val="22"/>
                <w:szCs w:val="22"/>
              </w:rPr>
              <w:t>SD2</w:t>
            </w:r>
            <w:r w:rsidR="00E0699A">
              <w:rPr>
                <w:sz w:val="22"/>
                <w:szCs w:val="22"/>
              </w:rPr>
              <w:t>4</w:t>
            </w:r>
            <w:r w:rsidRPr="001B2E97">
              <w:rPr>
                <w:sz w:val="22"/>
                <w:szCs w:val="22"/>
              </w:rPr>
              <w:t>-IQ-EHO-0</w:t>
            </w:r>
            <w:r w:rsidR="00E0699A">
              <w:rPr>
                <w:sz w:val="22"/>
                <w:szCs w:val="22"/>
              </w:rPr>
              <w:t>2</w:t>
            </w:r>
            <w:r w:rsidRPr="001B2E97">
              <w:rPr>
                <w:sz w:val="22"/>
                <w:szCs w:val="22"/>
              </w:rPr>
              <w:t>1</w:t>
            </w:r>
          </w:p>
        </w:tc>
      </w:tr>
    </w:tbl>
    <w:p w14:paraId="497F60AA" w14:textId="77777777" w:rsidR="00025DEE" w:rsidRDefault="00025DEE" w:rsidP="00025DEE">
      <w:pPr>
        <w:pStyle w:val="ListParagraph"/>
        <w:rPr>
          <w:rFonts w:asciiTheme="majorHAnsi" w:hAnsiTheme="majorHAnsi" w:cstheme="majorHAnsi"/>
        </w:rPr>
      </w:pPr>
    </w:p>
    <w:p w14:paraId="51D7F1EE" w14:textId="1B070BDC" w:rsidR="00AC37C1" w:rsidRDefault="00AC37C1" w:rsidP="00C572A7">
      <w:pPr>
        <w:pStyle w:val="ListParagraph"/>
        <w:numPr>
          <w:ilvl w:val="0"/>
          <w:numId w:val="10"/>
        </w:numPr>
        <w:rPr>
          <w:rFonts w:asciiTheme="majorHAnsi" w:hAnsiTheme="majorHAnsi" w:cstheme="majorHAnsi"/>
        </w:rPr>
      </w:pPr>
      <w:r w:rsidRPr="00BF151A">
        <w:rPr>
          <w:rFonts w:asciiTheme="majorHAnsi" w:hAnsiTheme="majorHAnsi" w:cstheme="majorHAnsi"/>
        </w:rPr>
        <w:t xml:space="preserve">All documents, samples and pictures must be </w:t>
      </w:r>
      <w:r w:rsidR="00025DEE">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5E262C20" w14:textId="77777777" w:rsidR="00FA368B" w:rsidRDefault="00FA368B" w:rsidP="003D426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w:t>
      </w:r>
      <w:r w:rsidR="00025DEE" w:rsidRPr="00FA368B">
        <w:rPr>
          <w:rFonts w:asciiTheme="majorHAnsi" w:hAnsiTheme="majorHAnsi" w:cstheme="majorHAnsi"/>
        </w:rPr>
        <w:t xml:space="preserve">At the time of dropping the Envelop in the designated location, the bidder’s representative will be requested to provide his name and email address. The purpose of this email address is to be able to send clarifications to questions raised by any other bidder. </w:t>
      </w:r>
    </w:p>
    <w:p w14:paraId="2860404B" w14:textId="615B3AC5" w:rsidR="008F1896" w:rsidRPr="00132B9E" w:rsidRDefault="004369EC" w:rsidP="00132B9E">
      <w:pPr>
        <w:pStyle w:val="ListParagraph"/>
        <w:numPr>
          <w:ilvl w:val="0"/>
          <w:numId w:val="10"/>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w:t>
      </w:r>
      <w:r w:rsidR="00FA368B" w:rsidRPr="00FA368B">
        <w:rPr>
          <w:rFonts w:asciiTheme="majorHAnsi" w:hAnsiTheme="majorHAnsi" w:cstheme="majorHAnsi"/>
        </w:rPr>
        <w:t xml:space="preserve">clarifications </w:t>
      </w:r>
      <w:r w:rsidRPr="00FA368B">
        <w:rPr>
          <w:rFonts w:asciiTheme="majorHAnsi" w:hAnsiTheme="majorHAnsi" w:cstheme="majorHAnsi"/>
        </w:rPr>
        <w:t xml:space="preserve">will be </w:t>
      </w:r>
      <w:r w:rsidR="00F850AE" w:rsidRPr="00FA368B">
        <w:rPr>
          <w:rFonts w:asciiTheme="majorHAnsi" w:hAnsiTheme="majorHAnsi" w:cstheme="majorHAnsi"/>
        </w:rPr>
        <w:t xml:space="preserve">made </w:t>
      </w:r>
      <w:r w:rsidRPr="00FA368B">
        <w:rPr>
          <w:rFonts w:asciiTheme="majorHAnsi" w:hAnsiTheme="majorHAnsi" w:cstheme="majorHAnsi"/>
        </w:rPr>
        <w:t xml:space="preserve">available </w:t>
      </w:r>
      <w:r w:rsidR="00FA368B" w:rsidRPr="00FA368B">
        <w:rPr>
          <w:rFonts w:asciiTheme="majorHAnsi" w:hAnsiTheme="majorHAnsi" w:cstheme="majorHAnsi"/>
        </w:rPr>
        <w:t xml:space="preserve">upon request, for bidders that do not have </w:t>
      </w:r>
      <w:r w:rsidR="00FA368B">
        <w:rPr>
          <w:rFonts w:asciiTheme="majorHAnsi" w:hAnsiTheme="majorHAnsi" w:cstheme="majorHAnsi"/>
        </w:rPr>
        <w:t xml:space="preserve">shared an </w:t>
      </w:r>
      <w:r w:rsidR="00FA368B" w:rsidRPr="00FA368B">
        <w:rPr>
          <w:rFonts w:asciiTheme="majorHAnsi" w:hAnsiTheme="majorHAnsi" w:cstheme="majorHAnsi"/>
        </w:rPr>
        <w:t xml:space="preserve">email address. </w:t>
      </w:r>
    </w:p>
    <w:p w14:paraId="05B9DEF3" w14:textId="77777777" w:rsidR="008F1896" w:rsidRPr="00BF151A" w:rsidRDefault="008F1896"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3D426E">
        <w:trPr>
          <w:trHeight w:val="432"/>
        </w:trPr>
        <w:tc>
          <w:tcPr>
            <w:tcW w:w="10491" w:type="dxa"/>
            <w:shd w:val="clear" w:color="auto" w:fill="D9D9D9" w:themeFill="background1" w:themeFillShade="D9"/>
            <w:vAlign w:val="center"/>
          </w:tcPr>
          <w:p w14:paraId="6BA7B802" w14:textId="4547CD1C" w:rsidR="00F850AE" w:rsidRPr="00BF151A" w:rsidRDefault="00F850AE" w:rsidP="003D426E">
            <w:pPr>
              <w:rPr>
                <w:rFonts w:asciiTheme="majorHAnsi" w:hAnsiTheme="majorHAnsi" w:cstheme="majorHAnsi"/>
                <w:b/>
                <w:bCs/>
              </w:rPr>
            </w:pPr>
            <w:r w:rsidRPr="00BF151A">
              <w:rPr>
                <w:rFonts w:asciiTheme="majorHAnsi" w:hAnsiTheme="majorHAnsi" w:cstheme="majorHAnsi"/>
                <w:b/>
                <w:bCs/>
              </w:rPr>
              <w:t xml:space="preserve">2. Tender </w:t>
            </w:r>
            <w:r>
              <w:rPr>
                <w:rFonts w:asciiTheme="majorHAnsi" w:hAnsiTheme="majorHAnsi" w:cstheme="majorHAnsi"/>
                <w:b/>
                <w:bCs/>
              </w:rPr>
              <w:t>Process</w:t>
            </w:r>
          </w:p>
        </w:tc>
      </w:tr>
    </w:tbl>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00E43F16" w14:textId="5FF4866B" w:rsidR="000C3D92" w:rsidRPr="00BF151A" w:rsidRDefault="00335432" w:rsidP="00D4173B">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5B3D46E2" w14:textId="02E6358A" w:rsidR="00F176C9" w:rsidRDefault="00F850AE" w:rsidP="008F1896">
      <w:pPr>
        <w:tabs>
          <w:tab w:val="left" w:pos="709"/>
        </w:tabs>
        <w:spacing w:after="120"/>
        <w:jc w:val="both"/>
        <w:rPr>
          <w:rFonts w:asciiTheme="majorHAnsi" w:hAnsiTheme="majorHAnsi" w:cstheme="majorHAnsi"/>
          <w:bCs/>
          <w:lang w:eastAsia="en-GB"/>
        </w:rPr>
      </w:pPr>
      <w:r w:rsidRPr="00F850AE">
        <w:rPr>
          <w:rFonts w:asciiTheme="majorHAnsi" w:hAnsiTheme="majorHAnsi" w:cstheme="majorHAnsi"/>
          <w:b/>
          <w:bCs/>
        </w:rPr>
        <w:t>Committee Evaluation of Proposals</w:t>
      </w:r>
      <w:r w:rsidR="00F62D3A">
        <w:rPr>
          <w:rFonts w:asciiTheme="majorHAnsi" w:hAnsiTheme="majorHAnsi" w:cstheme="majorHAnsi"/>
          <w:bCs/>
          <w:lang w:eastAsia="en-GB"/>
        </w:rPr>
        <w:t xml:space="preserve">: </w:t>
      </w:r>
      <w:r w:rsidR="00E732B6"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00E732B6"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00E732B6" w:rsidRPr="00BF151A">
        <w:rPr>
          <w:rFonts w:asciiTheme="majorHAnsi" w:hAnsiTheme="majorHAnsi" w:cstheme="majorHAnsi"/>
          <w:bCs/>
          <w:lang w:eastAsia="en-GB"/>
        </w:rPr>
        <w:t xml:space="preserve"> evaluation</w:t>
      </w:r>
      <w:r w:rsidR="00CA4C59">
        <w:rPr>
          <w:rFonts w:asciiTheme="majorHAnsi" w:hAnsiTheme="majorHAnsi" w:cstheme="majorHAnsi"/>
          <w:bCs/>
          <w:lang w:eastAsia="en-GB"/>
        </w:rPr>
        <w:t>.</w:t>
      </w:r>
    </w:p>
    <w:p w14:paraId="4AC08C34" w14:textId="4D5FCFB8" w:rsidR="00F850AE" w:rsidRPr="00F176C9" w:rsidRDefault="00F176C9" w:rsidP="00E732B6">
      <w:pPr>
        <w:tabs>
          <w:tab w:val="left" w:pos="709"/>
        </w:tabs>
        <w:jc w:val="both"/>
        <w:rPr>
          <w:rFonts w:asciiTheme="majorHAnsi" w:hAnsiTheme="majorHAnsi" w:cstheme="majorHAnsi"/>
          <w:b/>
          <w:lang w:eastAsia="en-GB"/>
        </w:rPr>
      </w:pPr>
      <w:r w:rsidRPr="00F176C9">
        <w:rPr>
          <w:rFonts w:asciiTheme="majorHAnsi" w:hAnsiTheme="majorHAnsi" w:cstheme="majorHAnsi"/>
          <w:b/>
          <w:lang w:eastAsia="en-GB"/>
        </w:rPr>
        <w:t xml:space="preserve">Technical Evaluation 50% </w:t>
      </w:r>
    </w:p>
    <w:p w14:paraId="78B4E518" w14:textId="765ED31C" w:rsidR="00132B9E" w:rsidRDefault="00132B9E" w:rsidP="008F1896">
      <w:pPr>
        <w:spacing w:line="276" w:lineRule="auto"/>
        <w:jc w:val="both"/>
        <w:rPr>
          <w:rFonts w:ascii="Calibri" w:eastAsia="Times New Roman" w:hAnsi="Calibri" w:cs="Calibri"/>
          <w:lang w:val="en-US"/>
        </w:rPr>
      </w:pPr>
    </w:p>
    <w:p w14:paraId="2ED5DFD2" w14:textId="5DF83E80" w:rsidR="00132B9E" w:rsidRDefault="00132B9E" w:rsidP="008F1896">
      <w:pPr>
        <w:spacing w:line="276" w:lineRule="auto"/>
        <w:jc w:val="both"/>
        <w:rPr>
          <w:rFonts w:ascii="Calibri" w:eastAsia="Times New Roman" w:hAnsi="Calibri" w:cs="Calibri"/>
          <w:lang w:val="en-US"/>
        </w:rPr>
      </w:pPr>
    </w:p>
    <w:p w14:paraId="17828BB8" w14:textId="0636D5CF" w:rsidR="00132B9E" w:rsidRDefault="00132B9E" w:rsidP="008F1896">
      <w:pPr>
        <w:spacing w:line="276" w:lineRule="auto"/>
        <w:jc w:val="both"/>
        <w:rPr>
          <w:rFonts w:ascii="Calibri" w:eastAsia="Times New Roman" w:hAnsi="Calibri" w:cs="Calibri"/>
          <w:lang w:val="en-US"/>
        </w:rPr>
      </w:pPr>
    </w:p>
    <w:p w14:paraId="0F9212D1" w14:textId="71E88549" w:rsidR="00132B9E" w:rsidRDefault="00132B9E" w:rsidP="008F1896">
      <w:pPr>
        <w:spacing w:line="276" w:lineRule="auto"/>
        <w:jc w:val="both"/>
        <w:rPr>
          <w:rFonts w:ascii="Calibri" w:eastAsia="Times New Roman" w:hAnsi="Calibri" w:cs="Calibri"/>
          <w:lang w:val="en-US"/>
        </w:rPr>
      </w:pPr>
    </w:p>
    <w:p w14:paraId="086A151D" w14:textId="6020CF38" w:rsidR="00132B9E" w:rsidRDefault="00132B9E" w:rsidP="008F1896">
      <w:pPr>
        <w:spacing w:line="276" w:lineRule="auto"/>
        <w:jc w:val="both"/>
        <w:rPr>
          <w:rFonts w:ascii="Calibri" w:eastAsia="Times New Roman" w:hAnsi="Calibri" w:cs="Calibri"/>
          <w:lang w:val="en-US"/>
        </w:rPr>
      </w:pPr>
    </w:p>
    <w:tbl>
      <w:tblPr>
        <w:tblW w:w="9530" w:type="dxa"/>
        <w:tblInd w:w="-118" w:type="dxa"/>
        <w:tblLook w:val="04A0" w:firstRow="1" w:lastRow="0" w:firstColumn="1" w:lastColumn="0" w:noHBand="0" w:noVBand="1"/>
      </w:tblPr>
      <w:tblGrid>
        <w:gridCol w:w="7010"/>
        <w:gridCol w:w="2520"/>
      </w:tblGrid>
      <w:tr w:rsidR="00132B9E" w:rsidRPr="00132B9E" w14:paraId="7F166CAE" w14:textId="77777777" w:rsidTr="00132B9E">
        <w:trPr>
          <w:trHeight w:val="600"/>
        </w:trPr>
        <w:tc>
          <w:tcPr>
            <w:tcW w:w="701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ADF610D" w14:textId="77777777" w:rsidR="00132B9E" w:rsidRPr="00132B9E" w:rsidRDefault="00132B9E" w:rsidP="00132B9E">
            <w:pPr>
              <w:rPr>
                <w:rFonts w:ascii="Calibri" w:eastAsia="Times New Roman" w:hAnsi="Calibri" w:cs="Calibri"/>
                <w:b/>
                <w:bCs/>
                <w:i/>
                <w:iCs/>
                <w:color w:val="000000"/>
                <w:sz w:val="20"/>
                <w:szCs w:val="20"/>
                <w:lang w:val="en-US"/>
              </w:rPr>
            </w:pPr>
            <w:r w:rsidRPr="00132B9E">
              <w:rPr>
                <w:rFonts w:ascii="Times New Roman" w:eastAsia="Times New Roman" w:hAnsi="Times New Roman" w:cs="Times New Roman"/>
                <w:b/>
                <w:bCs/>
                <w:i/>
                <w:iCs/>
              </w:rPr>
              <w:t xml:space="preserve">Experience and Skills of the Audit Team </w:t>
            </w:r>
            <w:r w:rsidRPr="00132B9E">
              <w:rPr>
                <w:rFonts w:ascii="Calibri" w:eastAsia="Times New Roman" w:hAnsi="Calibri" w:cs="Calibri"/>
                <w:b/>
                <w:bCs/>
                <w:i/>
                <w:iCs/>
                <w:color w:val="000000"/>
                <w:sz w:val="20"/>
                <w:szCs w:val="20"/>
                <w:lang w:val="en-US"/>
              </w:rPr>
              <w:t>(10%):</w:t>
            </w:r>
          </w:p>
        </w:tc>
        <w:tc>
          <w:tcPr>
            <w:tcW w:w="2520" w:type="dxa"/>
            <w:vMerge w:val="restart"/>
            <w:tcBorders>
              <w:top w:val="single" w:sz="4" w:space="0" w:color="auto"/>
              <w:left w:val="single" w:sz="4" w:space="0" w:color="auto"/>
              <w:bottom w:val="single" w:sz="4" w:space="0" w:color="auto"/>
              <w:right w:val="single" w:sz="4" w:space="0" w:color="auto"/>
            </w:tcBorders>
          </w:tcPr>
          <w:p w14:paraId="61F5A903" w14:textId="77777777" w:rsidR="00132B9E" w:rsidRDefault="00132B9E" w:rsidP="00132B9E">
            <w:pPr>
              <w:spacing w:line="276" w:lineRule="auto"/>
              <w:rPr>
                <w:rFonts w:ascii="Calibri" w:eastAsia="Times New Roman" w:hAnsi="Calibri" w:cs="Calibri"/>
                <w:sz w:val="18"/>
                <w:szCs w:val="18"/>
                <w:lang w:val="en-US"/>
              </w:rPr>
            </w:pPr>
          </w:p>
          <w:p w14:paraId="4BF8AF53" w14:textId="77777777" w:rsidR="00132B9E" w:rsidRDefault="00132B9E" w:rsidP="00132B9E">
            <w:pPr>
              <w:spacing w:line="276" w:lineRule="auto"/>
              <w:rPr>
                <w:rFonts w:ascii="Calibri" w:eastAsia="Times New Roman" w:hAnsi="Calibri" w:cs="Calibri"/>
                <w:sz w:val="18"/>
                <w:szCs w:val="18"/>
                <w:lang w:val="en-US"/>
              </w:rPr>
            </w:pPr>
          </w:p>
          <w:p w14:paraId="069AE380" w14:textId="2861D36C" w:rsidR="00132B9E" w:rsidRPr="00132B9E" w:rsidRDefault="00132B9E" w:rsidP="00132B9E">
            <w:pPr>
              <w:spacing w:line="276" w:lineRule="auto"/>
              <w:rPr>
                <w:rFonts w:ascii="Calibri" w:eastAsia="Times New Roman" w:hAnsi="Calibri" w:cs="Calibri"/>
                <w:b/>
                <w:bCs/>
                <w:color w:val="000000"/>
                <w:sz w:val="18"/>
                <w:szCs w:val="18"/>
                <w:lang w:val="en-US"/>
              </w:rPr>
            </w:pPr>
            <w:r w:rsidRPr="00132B9E">
              <w:rPr>
                <w:rFonts w:ascii="Calibri" w:eastAsia="Times New Roman" w:hAnsi="Calibri" w:cs="Calibri"/>
                <w:sz w:val="18"/>
                <w:szCs w:val="18"/>
                <w:lang w:val="en-US"/>
              </w:rPr>
              <w:t>Submit CVS Presentation of the team</w:t>
            </w:r>
          </w:p>
        </w:tc>
      </w:tr>
      <w:tr w:rsidR="00132B9E" w:rsidRPr="00132B9E" w14:paraId="38978DAF"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1A543E7B" w14:textId="77777777" w:rsidR="00132B9E" w:rsidRPr="00132B9E" w:rsidRDefault="00132B9E" w:rsidP="00132B9E">
            <w:pPr>
              <w:rPr>
                <w:rFonts w:ascii="Calibri" w:eastAsia="Times New Roman" w:hAnsi="Calibri" w:cs="Calibri"/>
                <w:color w:val="000000"/>
                <w:sz w:val="20"/>
                <w:szCs w:val="20"/>
                <w:lang w:val="en-US"/>
              </w:rPr>
            </w:pPr>
            <w:r w:rsidRPr="00132B9E">
              <w:rPr>
                <w:rFonts w:ascii="Calibri" w:eastAsia="Times New Roman" w:hAnsi="Calibri" w:cs="Calibri"/>
                <w:color w:val="000000"/>
                <w:sz w:val="22"/>
                <w:szCs w:val="22"/>
                <w:lang w:val="en-US"/>
              </w:rPr>
              <w:t>0%: No information about the team.</w:t>
            </w:r>
          </w:p>
        </w:tc>
        <w:tc>
          <w:tcPr>
            <w:tcW w:w="2520" w:type="dxa"/>
            <w:vMerge/>
            <w:tcBorders>
              <w:top w:val="single" w:sz="4" w:space="0" w:color="auto"/>
              <w:left w:val="single" w:sz="4" w:space="0" w:color="auto"/>
              <w:bottom w:val="single" w:sz="4" w:space="0" w:color="auto"/>
              <w:right w:val="single" w:sz="4" w:space="0" w:color="auto"/>
            </w:tcBorders>
          </w:tcPr>
          <w:p w14:paraId="2CEDC47C" w14:textId="77777777" w:rsidR="00132B9E" w:rsidRPr="00132B9E" w:rsidRDefault="00132B9E" w:rsidP="00132B9E">
            <w:pPr>
              <w:rPr>
                <w:rFonts w:ascii="Calibri" w:eastAsia="Times New Roman" w:hAnsi="Calibri" w:cs="Calibri"/>
                <w:color w:val="000000"/>
                <w:sz w:val="20"/>
                <w:szCs w:val="20"/>
                <w:lang w:val="en-US"/>
              </w:rPr>
            </w:pPr>
          </w:p>
        </w:tc>
      </w:tr>
      <w:tr w:rsidR="00132B9E" w:rsidRPr="00132B9E" w14:paraId="282118A7"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292334BD"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5%: Limited experience or a non-specialized team.</w:t>
            </w:r>
          </w:p>
        </w:tc>
        <w:tc>
          <w:tcPr>
            <w:tcW w:w="2520" w:type="dxa"/>
            <w:vMerge/>
            <w:tcBorders>
              <w:top w:val="single" w:sz="4" w:space="0" w:color="auto"/>
              <w:left w:val="single" w:sz="4" w:space="0" w:color="auto"/>
              <w:bottom w:val="single" w:sz="4" w:space="0" w:color="auto"/>
              <w:right w:val="single" w:sz="4" w:space="0" w:color="auto"/>
            </w:tcBorders>
          </w:tcPr>
          <w:p w14:paraId="46AAF90C" w14:textId="77777777" w:rsidR="00132B9E" w:rsidRPr="00132B9E" w:rsidRDefault="00132B9E" w:rsidP="00132B9E">
            <w:pPr>
              <w:rPr>
                <w:rFonts w:ascii="Calibri" w:eastAsia="Times New Roman" w:hAnsi="Calibri" w:cs="Calibri"/>
                <w:color w:val="000000"/>
                <w:sz w:val="20"/>
                <w:szCs w:val="20"/>
                <w:lang w:val="en-US"/>
              </w:rPr>
            </w:pPr>
          </w:p>
        </w:tc>
      </w:tr>
      <w:tr w:rsidR="00132B9E" w:rsidRPr="00132B9E" w14:paraId="5AF8F4B3"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18BB8999"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7%: Team with moderate experience in similar audits</w:t>
            </w:r>
          </w:p>
        </w:tc>
        <w:tc>
          <w:tcPr>
            <w:tcW w:w="2520" w:type="dxa"/>
            <w:vMerge/>
            <w:tcBorders>
              <w:top w:val="single" w:sz="4" w:space="0" w:color="auto"/>
              <w:left w:val="single" w:sz="4" w:space="0" w:color="auto"/>
              <w:bottom w:val="single" w:sz="4" w:space="0" w:color="auto"/>
              <w:right w:val="single" w:sz="4" w:space="0" w:color="auto"/>
            </w:tcBorders>
          </w:tcPr>
          <w:p w14:paraId="6D9A7EA2" w14:textId="77777777" w:rsidR="00132B9E" w:rsidRPr="00132B9E" w:rsidRDefault="00132B9E" w:rsidP="00132B9E">
            <w:pPr>
              <w:rPr>
                <w:rFonts w:ascii="Calibri" w:eastAsia="Times New Roman" w:hAnsi="Calibri" w:cs="Calibri"/>
                <w:color w:val="000000"/>
                <w:sz w:val="20"/>
                <w:szCs w:val="20"/>
                <w:lang w:val="en-US"/>
              </w:rPr>
            </w:pPr>
          </w:p>
        </w:tc>
      </w:tr>
      <w:tr w:rsidR="00132B9E" w:rsidRPr="00132B9E" w14:paraId="46726EC1"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vAlign w:val="bottom"/>
            <w:hideMark/>
          </w:tcPr>
          <w:p w14:paraId="1BD06DF1"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10%: Highly qualified team with proven experience in financial audits for international NGOs.</w:t>
            </w:r>
          </w:p>
        </w:tc>
        <w:tc>
          <w:tcPr>
            <w:tcW w:w="2520" w:type="dxa"/>
            <w:vMerge/>
            <w:tcBorders>
              <w:top w:val="single" w:sz="4" w:space="0" w:color="auto"/>
              <w:left w:val="single" w:sz="4" w:space="0" w:color="auto"/>
              <w:bottom w:val="single" w:sz="4" w:space="0" w:color="auto"/>
              <w:right w:val="single" w:sz="4" w:space="0" w:color="auto"/>
            </w:tcBorders>
          </w:tcPr>
          <w:p w14:paraId="26167425" w14:textId="77777777" w:rsidR="00132B9E" w:rsidRPr="00132B9E" w:rsidRDefault="00132B9E" w:rsidP="00132B9E">
            <w:pPr>
              <w:rPr>
                <w:rFonts w:ascii="Calibri" w:eastAsia="Times New Roman" w:hAnsi="Calibri" w:cs="Calibri"/>
                <w:color w:val="000000"/>
                <w:sz w:val="20"/>
                <w:szCs w:val="20"/>
                <w:lang w:val="en-US"/>
              </w:rPr>
            </w:pPr>
          </w:p>
        </w:tc>
      </w:tr>
      <w:tr w:rsidR="00132B9E" w:rsidRPr="00132B9E" w14:paraId="0C76111D" w14:textId="77777777" w:rsidTr="00132B9E">
        <w:trPr>
          <w:trHeight w:val="300"/>
        </w:trPr>
        <w:tc>
          <w:tcPr>
            <w:tcW w:w="95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0FCE9C" w14:textId="77777777" w:rsidR="00132B9E" w:rsidRPr="00132B9E" w:rsidRDefault="00132B9E" w:rsidP="00132B9E">
            <w:pPr>
              <w:rPr>
                <w:rFonts w:ascii="Calibri" w:eastAsia="Times New Roman" w:hAnsi="Calibri" w:cs="Calibri"/>
                <w:color w:val="000000"/>
                <w:sz w:val="20"/>
                <w:szCs w:val="20"/>
                <w:lang w:val="en-US"/>
              </w:rPr>
            </w:pPr>
            <w:r w:rsidRPr="00132B9E">
              <w:rPr>
                <w:rFonts w:ascii="Calibri" w:eastAsia="Times New Roman" w:hAnsi="Calibri" w:cs="Calibri"/>
                <w:color w:val="000000"/>
                <w:sz w:val="20"/>
                <w:szCs w:val="20"/>
                <w:lang w:val="en-US"/>
              </w:rPr>
              <w:t> </w:t>
            </w:r>
          </w:p>
        </w:tc>
      </w:tr>
      <w:tr w:rsidR="00132B9E" w:rsidRPr="00132B9E" w14:paraId="217A1647" w14:textId="77777777" w:rsidTr="00132B9E">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7B423B" w14:textId="77777777" w:rsidR="00132B9E" w:rsidRPr="00132B9E" w:rsidRDefault="00132B9E" w:rsidP="00132B9E">
            <w:pPr>
              <w:rPr>
                <w:rFonts w:ascii="Calibri" w:eastAsia="Times New Roman" w:hAnsi="Calibri" w:cs="Calibri"/>
                <w:b/>
                <w:bCs/>
                <w:i/>
                <w:iCs/>
                <w:color w:val="000000"/>
                <w:sz w:val="20"/>
                <w:szCs w:val="20"/>
                <w:lang w:val="en-US"/>
              </w:rPr>
            </w:pPr>
            <w:r w:rsidRPr="00132B9E">
              <w:rPr>
                <w:rFonts w:ascii="Times New Roman" w:eastAsia="Times New Roman" w:hAnsi="Times New Roman" w:cs="Times New Roman"/>
                <w:b/>
                <w:bCs/>
                <w:i/>
                <w:iCs/>
              </w:rPr>
              <w:t xml:space="preserve">Audit Methodology and Approach </w:t>
            </w:r>
            <w:r w:rsidRPr="00132B9E">
              <w:rPr>
                <w:rFonts w:ascii="Calibri" w:eastAsia="Times New Roman" w:hAnsi="Calibri" w:cs="Calibri"/>
                <w:b/>
                <w:bCs/>
                <w:i/>
                <w:iCs/>
                <w:color w:val="000000"/>
                <w:sz w:val="20"/>
                <w:szCs w:val="20"/>
                <w:lang w:val="en-US"/>
              </w:rPr>
              <w:t>(10%):</w:t>
            </w:r>
          </w:p>
        </w:tc>
        <w:tc>
          <w:tcPr>
            <w:tcW w:w="2520" w:type="dxa"/>
            <w:vMerge w:val="restart"/>
            <w:tcBorders>
              <w:top w:val="single" w:sz="4" w:space="0" w:color="auto"/>
              <w:left w:val="single" w:sz="4" w:space="0" w:color="auto"/>
              <w:bottom w:val="single" w:sz="4" w:space="0" w:color="auto"/>
              <w:right w:val="single" w:sz="4" w:space="0" w:color="auto"/>
            </w:tcBorders>
          </w:tcPr>
          <w:p w14:paraId="1BA889DB" w14:textId="77777777" w:rsidR="00132B9E" w:rsidRPr="00132B9E" w:rsidRDefault="00132B9E" w:rsidP="00132B9E">
            <w:pPr>
              <w:spacing w:line="276" w:lineRule="auto"/>
              <w:rPr>
                <w:rFonts w:ascii="Calibri" w:eastAsia="Times New Roman" w:hAnsi="Calibri" w:cs="Calibri"/>
                <w:sz w:val="18"/>
                <w:szCs w:val="18"/>
                <w:lang w:val="en-US"/>
              </w:rPr>
            </w:pPr>
          </w:p>
          <w:p w14:paraId="2BBD67C8" w14:textId="77777777" w:rsidR="00132B9E" w:rsidRPr="00132B9E" w:rsidRDefault="00132B9E" w:rsidP="00132B9E">
            <w:pPr>
              <w:rPr>
                <w:rFonts w:ascii="Calibri" w:eastAsia="Times New Roman" w:hAnsi="Calibri" w:cs="Calibri"/>
                <w:sz w:val="18"/>
                <w:szCs w:val="18"/>
                <w:lang w:val="en-US"/>
              </w:rPr>
            </w:pPr>
            <w:r w:rsidRPr="00132B9E">
              <w:rPr>
                <w:rFonts w:ascii="Calibri" w:eastAsia="Times New Roman" w:hAnsi="Calibri" w:cs="Calibri"/>
                <w:sz w:val="18"/>
                <w:szCs w:val="18"/>
                <w:lang w:val="en-US"/>
              </w:rPr>
              <w:t>Submit detailed methodology with timeline</w:t>
            </w:r>
          </w:p>
          <w:p w14:paraId="1C43399A" w14:textId="77777777" w:rsidR="00132B9E" w:rsidRPr="00132B9E" w:rsidRDefault="00132B9E" w:rsidP="00132B9E">
            <w:pPr>
              <w:spacing w:line="276" w:lineRule="auto"/>
              <w:ind w:firstLine="720"/>
              <w:rPr>
                <w:rFonts w:ascii="Calibri" w:eastAsia="Times New Roman" w:hAnsi="Calibri" w:cs="Calibri"/>
                <w:sz w:val="18"/>
                <w:szCs w:val="18"/>
                <w:lang w:val="en-US"/>
              </w:rPr>
            </w:pPr>
          </w:p>
          <w:p w14:paraId="5A058988" w14:textId="77777777" w:rsidR="00132B9E" w:rsidRPr="00132B9E" w:rsidRDefault="00132B9E" w:rsidP="00132B9E">
            <w:pPr>
              <w:spacing w:line="276" w:lineRule="auto"/>
              <w:rPr>
                <w:rFonts w:ascii="Calibri" w:eastAsia="Times New Roman" w:hAnsi="Calibri" w:cs="Calibri"/>
                <w:sz w:val="18"/>
                <w:szCs w:val="18"/>
                <w:lang w:val="en-US"/>
              </w:rPr>
            </w:pPr>
          </w:p>
        </w:tc>
      </w:tr>
      <w:tr w:rsidR="00132B9E" w:rsidRPr="00132B9E" w14:paraId="3F519072" w14:textId="77777777" w:rsidTr="00132B9E">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63B55C89"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0%: No methodology provided.</w:t>
            </w:r>
          </w:p>
        </w:tc>
        <w:tc>
          <w:tcPr>
            <w:tcW w:w="2520" w:type="dxa"/>
            <w:vMerge/>
            <w:tcBorders>
              <w:top w:val="single" w:sz="4" w:space="0" w:color="auto"/>
              <w:left w:val="single" w:sz="4" w:space="0" w:color="auto"/>
              <w:bottom w:val="single" w:sz="4" w:space="0" w:color="auto"/>
              <w:right w:val="single" w:sz="4" w:space="0" w:color="auto"/>
            </w:tcBorders>
          </w:tcPr>
          <w:p w14:paraId="3FABDD32"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3F7FEBCF" w14:textId="77777777" w:rsidTr="00132B9E">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371F319E"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5%: Generic methodology unrelated to MAG’s needs.</w:t>
            </w:r>
          </w:p>
        </w:tc>
        <w:tc>
          <w:tcPr>
            <w:tcW w:w="2520" w:type="dxa"/>
            <w:vMerge/>
            <w:tcBorders>
              <w:top w:val="single" w:sz="4" w:space="0" w:color="auto"/>
              <w:left w:val="single" w:sz="4" w:space="0" w:color="auto"/>
              <w:bottom w:val="single" w:sz="4" w:space="0" w:color="auto"/>
              <w:right w:val="single" w:sz="4" w:space="0" w:color="auto"/>
            </w:tcBorders>
          </w:tcPr>
          <w:p w14:paraId="42BF49D3"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5E37AF35" w14:textId="77777777" w:rsidTr="00132B9E">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29863AF8"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rPr>
              <w:t>7</w:t>
            </w:r>
            <w:r w:rsidRPr="00132B9E">
              <w:rPr>
                <w:rFonts w:ascii="Calibri" w:eastAsia="Times New Roman" w:hAnsi="Calibri" w:cs="Calibri"/>
                <w:color w:val="000000"/>
                <w:sz w:val="22"/>
                <w:szCs w:val="22"/>
                <w:lang w:val="en-US"/>
              </w:rPr>
              <w:t>%: Structured methodology but lacking detail.</w:t>
            </w:r>
          </w:p>
        </w:tc>
        <w:tc>
          <w:tcPr>
            <w:tcW w:w="2520" w:type="dxa"/>
            <w:vMerge/>
            <w:tcBorders>
              <w:top w:val="single" w:sz="4" w:space="0" w:color="auto"/>
              <w:left w:val="single" w:sz="4" w:space="0" w:color="auto"/>
              <w:bottom w:val="single" w:sz="4" w:space="0" w:color="auto"/>
              <w:right w:val="single" w:sz="4" w:space="0" w:color="auto"/>
            </w:tcBorders>
          </w:tcPr>
          <w:p w14:paraId="1D90FC9C"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009E051A" w14:textId="77777777" w:rsidTr="00132B9E">
        <w:trPr>
          <w:trHeight w:val="300"/>
        </w:trPr>
        <w:tc>
          <w:tcPr>
            <w:tcW w:w="7010" w:type="dxa"/>
            <w:tcBorders>
              <w:top w:val="single" w:sz="4" w:space="0" w:color="auto"/>
              <w:left w:val="single" w:sz="4" w:space="0" w:color="auto"/>
              <w:bottom w:val="single" w:sz="4" w:space="0" w:color="auto"/>
              <w:right w:val="single" w:sz="4" w:space="0" w:color="auto"/>
            </w:tcBorders>
            <w:shd w:val="clear" w:color="auto" w:fill="auto"/>
            <w:hideMark/>
          </w:tcPr>
          <w:p w14:paraId="1949697C"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rPr>
              <w:t>10</w:t>
            </w:r>
            <w:r w:rsidRPr="00132B9E">
              <w:rPr>
                <w:rFonts w:ascii="Calibri" w:eastAsia="Times New Roman" w:hAnsi="Calibri" w:cs="Calibri"/>
                <w:color w:val="000000"/>
                <w:sz w:val="22"/>
                <w:szCs w:val="22"/>
                <w:lang w:val="en-US"/>
              </w:rPr>
              <w:t>%: Clear, detailed approach, including risk analysis, sampling, and a defined timeline.</w:t>
            </w:r>
          </w:p>
        </w:tc>
        <w:tc>
          <w:tcPr>
            <w:tcW w:w="2520" w:type="dxa"/>
            <w:vMerge/>
            <w:tcBorders>
              <w:top w:val="single" w:sz="4" w:space="0" w:color="auto"/>
              <w:left w:val="single" w:sz="4" w:space="0" w:color="auto"/>
              <w:bottom w:val="single" w:sz="4" w:space="0" w:color="auto"/>
              <w:right w:val="single" w:sz="4" w:space="0" w:color="auto"/>
            </w:tcBorders>
          </w:tcPr>
          <w:p w14:paraId="30607CBC"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4895A861" w14:textId="77777777" w:rsidTr="00132B9E">
        <w:trPr>
          <w:trHeight w:val="300"/>
        </w:trPr>
        <w:tc>
          <w:tcPr>
            <w:tcW w:w="95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3670E4"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6E6242F5"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vAlign w:val="bottom"/>
          </w:tcPr>
          <w:p w14:paraId="30697678" w14:textId="77777777" w:rsidR="00132B9E" w:rsidRPr="00132B9E" w:rsidRDefault="00132B9E" w:rsidP="00132B9E">
            <w:pPr>
              <w:rPr>
                <w:rFonts w:ascii="Calibri" w:eastAsia="Times New Roman" w:hAnsi="Calibri" w:cs="Calibri"/>
                <w:b/>
                <w:bCs/>
                <w:color w:val="000000"/>
                <w:sz w:val="22"/>
                <w:szCs w:val="22"/>
                <w:lang w:val="en-US"/>
              </w:rPr>
            </w:pPr>
            <w:r w:rsidRPr="00132B9E">
              <w:rPr>
                <w:rFonts w:ascii="Times New Roman" w:eastAsia="Times New Roman" w:hAnsi="Times New Roman" w:cs="Times New Roman"/>
                <w:b/>
                <w:bCs/>
                <w:i/>
                <w:iCs/>
              </w:rPr>
              <w:t>Understanding of MAG’s Needs (10%):</w:t>
            </w:r>
          </w:p>
        </w:tc>
        <w:tc>
          <w:tcPr>
            <w:tcW w:w="2520" w:type="dxa"/>
            <w:vMerge w:val="restart"/>
            <w:tcBorders>
              <w:left w:val="single" w:sz="8" w:space="0" w:color="auto"/>
              <w:right w:val="single" w:sz="8" w:space="0" w:color="auto"/>
            </w:tcBorders>
          </w:tcPr>
          <w:p w14:paraId="0481AFE4" w14:textId="77777777" w:rsidR="00132B9E" w:rsidRDefault="00132B9E" w:rsidP="00132B9E">
            <w:pPr>
              <w:rPr>
                <w:rFonts w:ascii="Calibri" w:eastAsia="Times New Roman" w:hAnsi="Calibri" w:cs="Calibri"/>
                <w:sz w:val="18"/>
                <w:szCs w:val="18"/>
                <w:lang w:val="en-US"/>
              </w:rPr>
            </w:pPr>
          </w:p>
          <w:p w14:paraId="46CB4985" w14:textId="77777777" w:rsidR="00132B9E" w:rsidRDefault="00132B9E" w:rsidP="00132B9E">
            <w:pPr>
              <w:rPr>
                <w:rFonts w:ascii="Calibri" w:eastAsia="Times New Roman" w:hAnsi="Calibri" w:cs="Calibri"/>
                <w:sz w:val="18"/>
                <w:szCs w:val="18"/>
                <w:lang w:val="en-US"/>
              </w:rPr>
            </w:pPr>
          </w:p>
          <w:p w14:paraId="58F29C47" w14:textId="7E4561F1" w:rsidR="00132B9E" w:rsidRPr="00132B9E" w:rsidRDefault="00132B9E" w:rsidP="00132B9E">
            <w:pPr>
              <w:rPr>
                <w:rFonts w:ascii="Calibri" w:eastAsia="Times New Roman" w:hAnsi="Calibri" w:cs="Calibri"/>
                <w:sz w:val="18"/>
                <w:szCs w:val="18"/>
                <w:lang w:val="en-US"/>
              </w:rPr>
            </w:pPr>
            <w:r w:rsidRPr="00132B9E">
              <w:rPr>
                <w:rFonts w:ascii="Calibri" w:eastAsia="Times New Roman" w:hAnsi="Calibri" w:cs="Calibri"/>
                <w:sz w:val="18"/>
                <w:szCs w:val="18"/>
                <w:lang w:val="en-US"/>
              </w:rPr>
              <w:t>Tailored approach with relevant examples</w:t>
            </w:r>
          </w:p>
        </w:tc>
      </w:tr>
      <w:tr w:rsidR="00132B9E" w:rsidRPr="00132B9E" w14:paraId="71E6804C"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4AAF91D0"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0%: No effort to customize the proposal.</w:t>
            </w:r>
          </w:p>
        </w:tc>
        <w:tc>
          <w:tcPr>
            <w:tcW w:w="2520" w:type="dxa"/>
            <w:vMerge/>
            <w:tcBorders>
              <w:left w:val="single" w:sz="8" w:space="0" w:color="auto"/>
              <w:right w:val="single" w:sz="8" w:space="0" w:color="auto"/>
            </w:tcBorders>
          </w:tcPr>
          <w:p w14:paraId="4C79A61D"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6FCF4D24"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32D4D4AD"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5%: Generic response with limited understanding.</w:t>
            </w:r>
          </w:p>
        </w:tc>
        <w:tc>
          <w:tcPr>
            <w:tcW w:w="2520" w:type="dxa"/>
            <w:vMerge/>
            <w:tcBorders>
              <w:left w:val="single" w:sz="8" w:space="0" w:color="auto"/>
              <w:right w:val="single" w:sz="8" w:space="0" w:color="auto"/>
            </w:tcBorders>
          </w:tcPr>
          <w:p w14:paraId="29EFCE6F"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511288C8"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7ECF4F97"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7%: Good understanding with some adjustments to the needs.</w:t>
            </w:r>
          </w:p>
        </w:tc>
        <w:tc>
          <w:tcPr>
            <w:tcW w:w="2520" w:type="dxa"/>
            <w:vMerge/>
            <w:tcBorders>
              <w:left w:val="single" w:sz="8" w:space="0" w:color="auto"/>
              <w:right w:val="single" w:sz="8" w:space="0" w:color="auto"/>
            </w:tcBorders>
          </w:tcPr>
          <w:p w14:paraId="722D5B40"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736B7575"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4F16351A"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10%: Excellent understanding, fully aligned with MAG’s specific requirements.</w:t>
            </w:r>
          </w:p>
        </w:tc>
        <w:tc>
          <w:tcPr>
            <w:tcW w:w="2520" w:type="dxa"/>
            <w:vMerge/>
            <w:tcBorders>
              <w:left w:val="single" w:sz="8" w:space="0" w:color="auto"/>
              <w:bottom w:val="single" w:sz="4" w:space="0" w:color="auto"/>
              <w:right w:val="single" w:sz="8" w:space="0" w:color="auto"/>
            </w:tcBorders>
          </w:tcPr>
          <w:p w14:paraId="21FFF51F"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3D2696D0" w14:textId="77777777" w:rsidTr="00132B9E">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tcPr>
          <w:p w14:paraId="7C86097A"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1B2DF241"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vAlign w:val="bottom"/>
          </w:tcPr>
          <w:p w14:paraId="0C748F65" w14:textId="77777777" w:rsidR="00132B9E" w:rsidRPr="00132B9E" w:rsidRDefault="00132B9E" w:rsidP="00132B9E">
            <w:pPr>
              <w:rPr>
                <w:rFonts w:ascii="Times New Roman" w:eastAsia="Times New Roman" w:hAnsi="Times New Roman" w:cs="Times New Roman"/>
                <w:b/>
                <w:bCs/>
                <w:i/>
                <w:iCs/>
              </w:rPr>
            </w:pPr>
            <w:r w:rsidRPr="00132B9E">
              <w:rPr>
                <w:rFonts w:ascii="Times New Roman" w:eastAsia="Times New Roman" w:hAnsi="Times New Roman" w:cs="Times New Roman"/>
                <w:b/>
                <w:bCs/>
                <w:i/>
                <w:iCs/>
              </w:rPr>
              <w:t>Reports and Deliverables (10%)</w:t>
            </w:r>
          </w:p>
        </w:tc>
        <w:tc>
          <w:tcPr>
            <w:tcW w:w="2520" w:type="dxa"/>
            <w:vMerge w:val="restart"/>
            <w:tcBorders>
              <w:left w:val="single" w:sz="8" w:space="0" w:color="auto"/>
              <w:right w:val="single" w:sz="8" w:space="0" w:color="auto"/>
            </w:tcBorders>
          </w:tcPr>
          <w:p w14:paraId="753E086D" w14:textId="77777777" w:rsidR="00132B9E" w:rsidRDefault="00132B9E" w:rsidP="00132B9E">
            <w:pPr>
              <w:rPr>
                <w:rFonts w:ascii="Calibri" w:eastAsia="Times New Roman" w:hAnsi="Calibri" w:cs="Calibri"/>
                <w:sz w:val="18"/>
                <w:szCs w:val="18"/>
                <w:lang w:val="en-US"/>
              </w:rPr>
            </w:pPr>
          </w:p>
          <w:p w14:paraId="1D47DEAD" w14:textId="77777777" w:rsidR="00132B9E" w:rsidRDefault="00132B9E" w:rsidP="00132B9E">
            <w:pPr>
              <w:rPr>
                <w:rFonts w:ascii="Calibri" w:eastAsia="Times New Roman" w:hAnsi="Calibri" w:cs="Calibri"/>
                <w:sz w:val="18"/>
                <w:szCs w:val="18"/>
                <w:lang w:val="en-US"/>
              </w:rPr>
            </w:pPr>
          </w:p>
          <w:p w14:paraId="63B8BE5D" w14:textId="77777777" w:rsidR="00132B9E" w:rsidRDefault="00132B9E" w:rsidP="00132B9E">
            <w:pPr>
              <w:rPr>
                <w:rFonts w:ascii="Calibri" w:eastAsia="Times New Roman" w:hAnsi="Calibri" w:cs="Calibri"/>
                <w:sz w:val="18"/>
                <w:szCs w:val="18"/>
                <w:lang w:val="en-US"/>
              </w:rPr>
            </w:pPr>
          </w:p>
          <w:p w14:paraId="6EADC365" w14:textId="69365070" w:rsidR="00132B9E" w:rsidRPr="00132B9E" w:rsidRDefault="00132B9E" w:rsidP="00132B9E">
            <w:pPr>
              <w:rPr>
                <w:rFonts w:ascii="Calibri" w:eastAsia="Times New Roman" w:hAnsi="Calibri" w:cs="Calibri"/>
                <w:sz w:val="18"/>
                <w:szCs w:val="18"/>
                <w:lang w:val="en-US"/>
              </w:rPr>
            </w:pPr>
            <w:r w:rsidRPr="00132B9E">
              <w:rPr>
                <w:rFonts w:ascii="Calibri" w:eastAsia="Times New Roman" w:hAnsi="Calibri" w:cs="Calibri"/>
                <w:sz w:val="18"/>
                <w:szCs w:val="18"/>
                <w:lang w:val="en-US"/>
              </w:rPr>
              <w:t xml:space="preserve">Providing table of contents </w:t>
            </w:r>
          </w:p>
        </w:tc>
      </w:tr>
      <w:tr w:rsidR="00132B9E" w:rsidRPr="00132B9E" w14:paraId="1AEB7A49"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4CB36521"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0%: No details on reporting.</w:t>
            </w:r>
          </w:p>
        </w:tc>
        <w:tc>
          <w:tcPr>
            <w:tcW w:w="2520" w:type="dxa"/>
            <w:vMerge/>
            <w:tcBorders>
              <w:left w:val="single" w:sz="8" w:space="0" w:color="auto"/>
              <w:right w:val="single" w:sz="8" w:space="0" w:color="auto"/>
            </w:tcBorders>
          </w:tcPr>
          <w:p w14:paraId="193B81B3"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3C7532C3"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56BEF638"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5%: Basic reports with no added value.</w:t>
            </w:r>
          </w:p>
        </w:tc>
        <w:tc>
          <w:tcPr>
            <w:tcW w:w="2520" w:type="dxa"/>
            <w:vMerge/>
            <w:tcBorders>
              <w:left w:val="single" w:sz="8" w:space="0" w:color="auto"/>
              <w:right w:val="single" w:sz="8" w:space="0" w:color="auto"/>
            </w:tcBorders>
          </w:tcPr>
          <w:p w14:paraId="76F8A8EB"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3451BEF3"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77293230"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7%: Comprehensive reports but lacking recommendations.</w:t>
            </w:r>
          </w:p>
        </w:tc>
        <w:tc>
          <w:tcPr>
            <w:tcW w:w="2520" w:type="dxa"/>
            <w:vMerge/>
            <w:tcBorders>
              <w:left w:val="single" w:sz="8" w:space="0" w:color="auto"/>
              <w:right w:val="single" w:sz="8" w:space="0" w:color="auto"/>
            </w:tcBorders>
          </w:tcPr>
          <w:p w14:paraId="027742FE"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557B6BE4" w14:textId="77777777" w:rsidTr="00132B9E">
        <w:trPr>
          <w:trHeight w:val="300"/>
        </w:trPr>
        <w:tc>
          <w:tcPr>
            <w:tcW w:w="7010" w:type="dxa"/>
            <w:tcBorders>
              <w:top w:val="nil"/>
              <w:left w:val="single" w:sz="8" w:space="0" w:color="auto"/>
              <w:bottom w:val="single" w:sz="4" w:space="0" w:color="auto"/>
              <w:right w:val="single" w:sz="8" w:space="0" w:color="auto"/>
            </w:tcBorders>
            <w:shd w:val="clear" w:color="auto" w:fill="auto"/>
          </w:tcPr>
          <w:p w14:paraId="3F173E5B"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10%: Detailed reports with practical recommendations and a clear executive summary.</w:t>
            </w:r>
          </w:p>
        </w:tc>
        <w:tc>
          <w:tcPr>
            <w:tcW w:w="2520" w:type="dxa"/>
            <w:vMerge/>
            <w:tcBorders>
              <w:left w:val="single" w:sz="8" w:space="0" w:color="auto"/>
              <w:bottom w:val="single" w:sz="4" w:space="0" w:color="auto"/>
              <w:right w:val="single" w:sz="8" w:space="0" w:color="auto"/>
            </w:tcBorders>
          </w:tcPr>
          <w:p w14:paraId="79BFFDE0" w14:textId="77777777" w:rsidR="00132B9E" w:rsidRPr="00132B9E" w:rsidRDefault="00132B9E" w:rsidP="00132B9E">
            <w:pPr>
              <w:rPr>
                <w:rFonts w:ascii="Calibri" w:eastAsia="Times New Roman" w:hAnsi="Calibri" w:cs="Calibri"/>
                <w:color w:val="000000"/>
                <w:sz w:val="18"/>
                <w:szCs w:val="18"/>
                <w:lang w:val="en-US"/>
              </w:rPr>
            </w:pPr>
          </w:p>
        </w:tc>
      </w:tr>
      <w:tr w:rsidR="00132B9E" w:rsidRPr="00132B9E" w14:paraId="07CCDC62" w14:textId="77777777" w:rsidTr="00132B9E">
        <w:trPr>
          <w:trHeight w:val="300"/>
        </w:trPr>
        <w:tc>
          <w:tcPr>
            <w:tcW w:w="9530" w:type="dxa"/>
            <w:gridSpan w:val="2"/>
            <w:tcBorders>
              <w:top w:val="nil"/>
              <w:left w:val="single" w:sz="8" w:space="0" w:color="auto"/>
              <w:bottom w:val="single" w:sz="4" w:space="0" w:color="auto"/>
              <w:right w:val="single" w:sz="8" w:space="0" w:color="auto"/>
            </w:tcBorders>
            <w:shd w:val="clear" w:color="auto" w:fill="auto"/>
            <w:vAlign w:val="bottom"/>
            <w:hideMark/>
          </w:tcPr>
          <w:p w14:paraId="7AE6EADB" w14:textId="77777777" w:rsidR="00132B9E" w:rsidRPr="00132B9E" w:rsidRDefault="00132B9E" w:rsidP="00132B9E">
            <w:pPr>
              <w:rPr>
                <w:rFonts w:ascii="Calibri" w:eastAsia="Times New Roman" w:hAnsi="Calibri" w:cs="Calibri"/>
                <w:color w:val="000000"/>
                <w:sz w:val="18"/>
                <w:szCs w:val="18"/>
                <w:lang w:val="en-US"/>
              </w:rPr>
            </w:pPr>
            <w:r w:rsidRPr="00132B9E">
              <w:rPr>
                <w:rFonts w:ascii="Calibri" w:eastAsia="Times New Roman" w:hAnsi="Calibri" w:cs="Calibri"/>
                <w:color w:val="000000"/>
                <w:sz w:val="18"/>
                <w:szCs w:val="18"/>
                <w:lang w:val="en-US"/>
              </w:rPr>
              <w:t> </w:t>
            </w:r>
          </w:p>
        </w:tc>
      </w:tr>
      <w:tr w:rsidR="00132B9E" w:rsidRPr="00132B9E" w14:paraId="082B9183"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592F42CA" w14:textId="77777777" w:rsidR="00132B9E" w:rsidRPr="00132B9E" w:rsidRDefault="00132B9E" w:rsidP="00132B9E">
            <w:pPr>
              <w:rPr>
                <w:rFonts w:ascii="Times New Roman" w:eastAsia="Times New Roman" w:hAnsi="Times New Roman" w:cs="Times New Roman"/>
                <w:b/>
                <w:bCs/>
                <w:i/>
                <w:iCs/>
              </w:rPr>
            </w:pPr>
            <w:r w:rsidRPr="00132B9E">
              <w:rPr>
                <w:rFonts w:ascii="Times New Roman" w:eastAsia="Times New Roman" w:hAnsi="Times New Roman" w:cs="Times New Roman"/>
                <w:b/>
                <w:bCs/>
                <w:i/>
                <w:iCs/>
              </w:rPr>
              <w:t>Ability to Meet Deadlines (5%)</w:t>
            </w:r>
          </w:p>
        </w:tc>
        <w:tc>
          <w:tcPr>
            <w:tcW w:w="2520" w:type="dxa"/>
            <w:vMerge w:val="restart"/>
            <w:tcBorders>
              <w:top w:val="single" w:sz="4" w:space="0" w:color="auto"/>
              <w:left w:val="single" w:sz="4" w:space="0" w:color="auto"/>
              <w:bottom w:val="single" w:sz="4" w:space="0" w:color="auto"/>
              <w:right w:val="single" w:sz="4" w:space="0" w:color="auto"/>
            </w:tcBorders>
          </w:tcPr>
          <w:p w14:paraId="438DC9E1" w14:textId="77777777" w:rsidR="00132B9E" w:rsidRDefault="00132B9E" w:rsidP="00132B9E">
            <w:pPr>
              <w:rPr>
                <w:rFonts w:ascii="Calibri" w:eastAsia="Times New Roman" w:hAnsi="Calibri" w:cs="Calibri"/>
                <w:sz w:val="18"/>
                <w:szCs w:val="18"/>
                <w:lang w:val="en-US"/>
              </w:rPr>
            </w:pPr>
          </w:p>
          <w:p w14:paraId="05221927" w14:textId="232AFF38" w:rsidR="00132B9E" w:rsidRPr="00132B9E" w:rsidRDefault="00132B9E" w:rsidP="00132B9E">
            <w:pPr>
              <w:rPr>
                <w:rFonts w:ascii="Calibri" w:eastAsia="Times New Roman" w:hAnsi="Calibri" w:cs="Calibri"/>
                <w:sz w:val="18"/>
                <w:szCs w:val="18"/>
                <w:lang w:val="en-US"/>
              </w:rPr>
            </w:pPr>
            <w:r w:rsidRPr="00132B9E">
              <w:rPr>
                <w:rFonts w:ascii="Calibri" w:eastAsia="Times New Roman" w:hAnsi="Calibri" w:cs="Calibri"/>
                <w:sz w:val="18"/>
                <w:szCs w:val="18"/>
                <w:lang w:val="en-US"/>
              </w:rPr>
              <w:t>planning provided</w:t>
            </w:r>
          </w:p>
        </w:tc>
      </w:tr>
      <w:tr w:rsidR="00132B9E" w:rsidRPr="00132B9E" w14:paraId="1E4FFDDE"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0A7A05BE"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0%: No commitment to deadlines.</w:t>
            </w:r>
          </w:p>
        </w:tc>
        <w:tc>
          <w:tcPr>
            <w:tcW w:w="2520" w:type="dxa"/>
            <w:vMerge/>
            <w:tcBorders>
              <w:top w:val="single" w:sz="4" w:space="0" w:color="auto"/>
              <w:left w:val="single" w:sz="4" w:space="0" w:color="auto"/>
              <w:bottom w:val="single" w:sz="4" w:space="0" w:color="auto"/>
              <w:right w:val="single" w:sz="4" w:space="0" w:color="auto"/>
            </w:tcBorders>
          </w:tcPr>
          <w:p w14:paraId="063AF184"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3DF52929"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7DCAE7DD"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3%: General commitment but vague timelines.</w:t>
            </w:r>
          </w:p>
        </w:tc>
        <w:tc>
          <w:tcPr>
            <w:tcW w:w="2520" w:type="dxa"/>
            <w:vMerge/>
            <w:tcBorders>
              <w:top w:val="single" w:sz="4" w:space="0" w:color="auto"/>
              <w:left w:val="single" w:sz="4" w:space="0" w:color="auto"/>
              <w:bottom w:val="single" w:sz="4" w:space="0" w:color="auto"/>
              <w:right w:val="single" w:sz="4" w:space="0" w:color="auto"/>
            </w:tcBorders>
          </w:tcPr>
          <w:p w14:paraId="6C2E0EA8"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557BCF1A" w14:textId="77777777" w:rsidTr="00132B9E">
        <w:trPr>
          <w:trHeight w:val="300"/>
        </w:trPr>
        <w:tc>
          <w:tcPr>
            <w:tcW w:w="7010" w:type="dxa"/>
            <w:tcBorders>
              <w:top w:val="nil"/>
              <w:left w:val="single" w:sz="8" w:space="0" w:color="auto"/>
              <w:bottom w:val="single" w:sz="4" w:space="0" w:color="auto"/>
              <w:right w:val="single" w:sz="4" w:space="0" w:color="auto"/>
            </w:tcBorders>
            <w:shd w:val="clear" w:color="auto" w:fill="auto"/>
            <w:hideMark/>
          </w:tcPr>
          <w:p w14:paraId="0138D38E"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5%: Detailed plan with a realistic schedule.</w:t>
            </w:r>
          </w:p>
        </w:tc>
        <w:tc>
          <w:tcPr>
            <w:tcW w:w="2520" w:type="dxa"/>
            <w:vMerge/>
            <w:tcBorders>
              <w:top w:val="single" w:sz="4" w:space="0" w:color="auto"/>
              <w:left w:val="single" w:sz="4" w:space="0" w:color="auto"/>
              <w:bottom w:val="single" w:sz="4" w:space="0" w:color="auto"/>
              <w:right w:val="single" w:sz="4" w:space="0" w:color="auto"/>
            </w:tcBorders>
          </w:tcPr>
          <w:p w14:paraId="7C1890E6"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62EEB36F" w14:textId="77777777" w:rsidTr="00132B9E">
        <w:trPr>
          <w:trHeight w:val="300"/>
        </w:trPr>
        <w:tc>
          <w:tcPr>
            <w:tcW w:w="9530" w:type="dxa"/>
            <w:gridSpan w:val="2"/>
            <w:tcBorders>
              <w:top w:val="nil"/>
              <w:left w:val="single" w:sz="8" w:space="0" w:color="auto"/>
              <w:bottom w:val="single" w:sz="4" w:space="0" w:color="auto"/>
              <w:right w:val="single" w:sz="8" w:space="0" w:color="auto"/>
            </w:tcBorders>
            <w:shd w:val="clear" w:color="auto" w:fill="auto"/>
            <w:hideMark/>
          </w:tcPr>
          <w:p w14:paraId="09C4EE18"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6ADD3BD3" w14:textId="77777777" w:rsidTr="00132B9E">
        <w:trPr>
          <w:trHeight w:val="226"/>
        </w:trPr>
        <w:tc>
          <w:tcPr>
            <w:tcW w:w="7010" w:type="dxa"/>
            <w:tcBorders>
              <w:top w:val="nil"/>
              <w:left w:val="single" w:sz="8" w:space="0" w:color="auto"/>
              <w:bottom w:val="single" w:sz="4" w:space="0" w:color="auto"/>
              <w:right w:val="single" w:sz="8" w:space="0" w:color="auto"/>
            </w:tcBorders>
            <w:shd w:val="clear" w:color="auto" w:fill="auto"/>
            <w:vAlign w:val="bottom"/>
            <w:hideMark/>
          </w:tcPr>
          <w:p w14:paraId="7A66834F" w14:textId="77777777" w:rsidR="00132B9E" w:rsidRPr="00132B9E" w:rsidRDefault="00132B9E" w:rsidP="00132B9E">
            <w:pPr>
              <w:rPr>
                <w:rFonts w:ascii="Times New Roman" w:eastAsia="Times New Roman" w:hAnsi="Times New Roman" w:cs="Times New Roman"/>
                <w:b/>
                <w:bCs/>
                <w:i/>
                <w:iCs/>
              </w:rPr>
            </w:pPr>
            <w:r w:rsidRPr="00132B9E">
              <w:rPr>
                <w:rFonts w:ascii="Times New Roman" w:eastAsia="Times New Roman" w:hAnsi="Times New Roman" w:cs="Times New Roman"/>
                <w:b/>
                <w:bCs/>
                <w:i/>
                <w:iCs/>
              </w:rPr>
              <w:t>References and Past Performance (5%)</w:t>
            </w:r>
          </w:p>
        </w:tc>
        <w:tc>
          <w:tcPr>
            <w:tcW w:w="2520" w:type="dxa"/>
            <w:vMerge w:val="restart"/>
            <w:tcBorders>
              <w:left w:val="single" w:sz="8" w:space="0" w:color="auto"/>
              <w:right w:val="single" w:sz="8" w:space="0" w:color="auto"/>
            </w:tcBorders>
          </w:tcPr>
          <w:p w14:paraId="59476643" w14:textId="77777777" w:rsidR="00132B9E" w:rsidRDefault="00132B9E" w:rsidP="00132B9E">
            <w:pPr>
              <w:rPr>
                <w:rFonts w:ascii="Calibri" w:eastAsia="Times New Roman" w:hAnsi="Calibri" w:cs="Calibri"/>
                <w:sz w:val="18"/>
                <w:szCs w:val="18"/>
                <w:lang w:val="en-US"/>
              </w:rPr>
            </w:pPr>
          </w:p>
          <w:p w14:paraId="49C873AC" w14:textId="678AF78A" w:rsidR="00132B9E" w:rsidRPr="00132B9E" w:rsidRDefault="00132B9E" w:rsidP="00132B9E">
            <w:pPr>
              <w:rPr>
                <w:rFonts w:ascii="Calibri" w:eastAsia="Times New Roman" w:hAnsi="Calibri" w:cs="Calibri"/>
                <w:sz w:val="18"/>
                <w:szCs w:val="18"/>
                <w:lang w:val="en-US"/>
              </w:rPr>
            </w:pPr>
            <w:r w:rsidRPr="00132B9E">
              <w:rPr>
                <w:rFonts w:ascii="Calibri" w:eastAsia="Times New Roman" w:hAnsi="Calibri" w:cs="Calibri"/>
                <w:sz w:val="18"/>
                <w:szCs w:val="18"/>
                <w:lang w:val="en-US"/>
              </w:rPr>
              <w:t>Providing Certificates of Completion</w:t>
            </w:r>
          </w:p>
          <w:p w14:paraId="2A0A5EA2" w14:textId="77777777" w:rsidR="00132B9E" w:rsidRPr="00132B9E" w:rsidRDefault="00132B9E" w:rsidP="00132B9E">
            <w:pPr>
              <w:rPr>
                <w:rFonts w:ascii="Calibri" w:eastAsia="Times New Roman" w:hAnsi="Calibri" w:cs="Calibri"/>
                <w:sz w:val="18"/>
                <w:szCs w:val="18"/>
                <w:lang w:val="en-US"/>
              </w:rPr>
            </w:pPr>
          </w:p>
        </w:tc>
      </w:tr>
      <w:tr w:rsidR="00132B9E" w:rsidRPr="00132B9E" w14:paraId="7D665786" w14:textId="77777777" w:rsidTr="00132B9E">
        <w:trPr>
          <w:trHeight w:val="226"/>
        </w:trPr>
        <w:tc>
          <w:tcPr>
            <w:tcW w:w="7010" w:type="dxa"/>
            <w:tcBorders>
              <w:top w:val="single" w:sz="4" w:space="0" w:color="auto"/>
              <w:left w:val="single" w:sz="4" w:space="0" w:color="auto"/>
              <w:bottom w:val="single" w:sz="4" w:space="0" w:color="auto"/>
              <w:right w:val="single" w:sz="8" w:space="0" w:color="auto"/>
            </w:tcBorders>
            <w:shd w:val="clear" w:color="auto" w:fill="auto"/>
          </w:tcPr>
          <w:p w14:paraId="444CF8BA"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0%: No references provided.</w:t>
            </w:r>
          </w:p>
        </w:tc>
        <w:tc>
          <w:tcPr>
            <w:tcW w:w="2520" w:type="dxa"/>
            <w:vMerge/>
            <w:tcBorders>
              <w:left w:val="single" w:sz="8" w:space="0" w:color="auto"/>
              <w:right w:val="single" w:sz="8" w:space="0" w:color="auto"/>
            </w:tcBorders>
          </w:tcPr>
          <w:p w14:paraId="57EEC0C6"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7AB6A05F" w14:textId="77777777" w:rsidTr="00132B9E">
        <w:trPr>
          <w:trHeight w:val="127"/>
        </w:trPr>
        <w:tc>
          <w:tcPr>
            <w:tcW w:w="7010" w:type="dxa"/>
            <w:tcBorders>
              <w:top w:val="single" w:sz="4" w:space="0" w:color="auto"/>
              <w:left w:val="single" w:sz="4" w:space="0" w:color="auto"/>
              <w:bottom w:val="single" w:sz="4" w:space="0" w:color="auto"/>
              <w:right w:val="single" w:sz="8" w:space="0" w:color="auto"/>
            </w:tcBorders>
            <w:shd w:val="clear" w:color="auto" w:fill="auto"/>
          </w:tcPr>
          <w:p w14:paraId="5A38A996"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3%: Limited or unverified references.</w:t>
            </w:r>
          </w:p>
        </w:tc>
        <w:tc>
          <w:tcPr>
            <w:tcW w:w="2520" w:type="dxa"/>
            <w:vMerge/>
            <w:tcBorders>
              <w:left w:val="single" w:sz="8" w:space="0" w:color="auto"/>
              <w:right w:val="single" w:sz="8" w:space="0" w:color="auto"/>
            </w:tcBorders>
          </w:tcPr>
          <w:p w14:paraId="4ACECDB6"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37B28455" w14:textId="77777777" w:rsidTr="00132B9E">
        <w:trPr>
          <w:trHeight w:val="70"/>
        </w:trPr>
        <w:tc>
          <w:tcPr>
            <w:tcW w:w="7010" w:type="dxa"/>
            <w:tcBorders>
              <w:top w:val="single" w:sz="4" w:space="0" w:color="auto"/>
              <w:left w:val="single" w:sz="4" w:space="0" w:color="auto"/>
              <w:bottom w:val="single" w:sz="4" w:space="0" w:color="auto"/>
              <w:right w:val="single" w:sz="8" w:space="0" w:color="auto"/>
            </w:tcBorders>
            <w:shd w:val="clear" w:color="auto" w:fill="auto"/>
          </w:tcPr>
          <w:p w14:paraId="4B3353DF" w14:textId="77777777" w:rsidR="00132B9E" w:rsidRPr="00132B9E" w:rsidRDefault="00132B9E" w:rsidP="00132B9E">
            <w:pPr>
              <w:rPr>
                <w:rFonts w:ascii="Calibri" w:eastAsia="Times New Roman" w:hAnsi="Calibri" w:cs="Calibri"/>
                <w:color w:val="000000"/>
                <w:sz w:val="22"/>
                <w:szCs w:val="22"/>
                <w:lang w:val="en-US"/>
              </w:rPr>
            </w:pPr>
            <w:r w:rsidRPr="00132B9E">
              <w:rPr>
                <w:rFonts w:ascii="Calibri" w:eastAsia="Times New Roman" w:hAnsi="Calibri" w:cs="Calibri"/>
                <w:color w:val="000000"/>
                <w:sz w:val="22"/>
                <w:szCs w:val="22"/>
                <w:lang w:val="en-US"/>
              </w:rPr>
              <w:t>5%: Strong references with evidence of past performance.</w:t>
            </w:r>
          </w:p>
        </w:tc>
        <w:tc>
          <w:tcPr>
            <w:tcW w:w="2520" w:type="dxa"/>
            <w:vMerge/>
            <w:tcBorders>
              <w:left w:val="single" w:sz="8" w:space="0" w:color="auto"/>
              <w:right w:val="single" w:sz="8" w:space="0" w:color="auto"/>
            </w:tcBorders>
          </w:tcPr>
          <w:p w14:paraId="0B25797E" w14:textId="77777777" w:rsidR="00132B9E" w:rsidRPr="00132B9E" w:rsidRDefault="00132B9E" w:rsidP="00132B9E">
            <w:pPr>
              <w:rPr>
                <w:rFonts w:ascii="Calibri" w:eastAsia="Times New Roman" w:hAnsi="Calibri" w:cs="Calibri"/>
                <w:color w:val="000000"/>
                <w:sz w:val="22"/>
                <w:szCs w:val="22"/>
                <w:lang w:val="en-US"/>
              </w:rPr>
            </w:pPr>
          </w:p>
        </w:tc>
      </w:tr>
      <w:tr w:rsidR="00132B9E" w:rsidRPr="00132B9E" w14:paraId="56DF2ED5" w14:textId="77777777" w:rsidTr="00132B9E">
        <w:trPr>
          <w:trHeight w:val="70"/>
        </w:trPr>
        <w:tc>
          <w:tcPr>
            <w:tcW w:w="7010" w:type="dxa"/>
            <w:tcBorders>
              <w:top w:val="single" w:sz="4" w:space="0" w:color="auto"/>
              <w:left w:val="single" w:sz="4" w:space="0" w:color="auto"/>
              <w:bottom w:val="single" w:sz="4" w:space="0" w:color="auto"/>
              <w:right w:val="single" w:sz="8" w:space="0" w:color="auto"/>
            </w:tcBorders>
            <w:shd w:val="clear" w:color="auto" w:fill="auto"/>
            <w:vAlign w:val="bottom"/>
          </w:tcPr>
          <w:p w14:paraId="568B7523" w14:textId="77777777" w:rsidR="00132B9E" w:rsidRPr="00132B9E" w:rsidRDefault="00132B9E" w:rsidP="00132B9E">
            <w:pPr>
              <w:rPr>
                <w:rFonts w:ascii="Calibri" w:eastAsia="Times New Roman" w:hAnsi="Calibri" w:cs="Calibri"/>
                <w:color w:val="000000"/>
                <w:sz w:val="22"/>
                <w:szCs w:val="22"/>
                <w:lang w:val="en-US"/>
              </w:rPr>
            </w:pPr>
          </w:p>
        </w:tc>
        <w:tc>
          <w:tcPr>
            <w:tcW w:w="2520" w:type="dxa"/>
            <w:vMerge/>
            <w:tcBorders>
              <w:left w:val="single" w:sz="8" w:space="0" w:color="auto"/>
              <w:bottom w:val="single" w:sz="4" w:space="0" w:color="auto"/>
              <w:right w:val="single" w:sz="8" w:space="0" w:color="auto"/>
            </w:tcBorders>
          </w:tcPr>
          <w:p w14:paraId="3F19ABC3" w14:textId="77777777" w:rsidR="00132B9E" w:rsidRPr="00132B9E" w:rsidRDefault="00132B9E" w:rsidP="00132B9E">
            <w:pPr>
              <w:rPr>
                <w:rFonts w:ascii="Calibri" w:eastAsia="Times New Roman" w:hAnsi="Calibri" w:cs="Calibri"/>
                <w:color w:val="000000"/>
                <w:sz w:val="22"/>
                <w:szCs w:val="22"/>
                <w:lang w:val="en-US"/>
              </w:rPr>
            </w:pPr>
          </w:p>
        </w:tc>
      </w:tr>
    </w:tbl>
    <w:p w14:paraId="3B6EAED9" w14:textId="77777777" w:rsidR="00132B9E" w:rsidRDefault="00132B9E" w:rsidP="008F1896">
      <w:pPr>
        <w:spacing w:line="276" w:lineRule="auto"/>
        <w:jc w:val="both"/>
        <w:rPr>
          <w:rFonts w:ascii="Calibri" w:eastAsia="Times New Roman" w:hAnsi="Calibri" w:cs="Calibri"/>
          <w:lang w:val="en-US"/>
        </w:rPr>
      </w:pPr>
    </w:p>
    <w:p w14:paraId="14089E1C" w14:textId="77777777" w:rsidR="00132B9E" w:rsidRDefault="00132B9E" w:rsidP="008F1896">
      <w:pPr>
        <w:spacing w:line="276" w:lineRule="auto"/>
        <w:jc w:val="both"/>
        <w:rPr>
          <w:rFonts w:ascii="Calibri" w:eastAsia="Times New Roman" w:hAnsi="Calibri" w:cs="Calibri"/>
          <w:lang w:val="en-US"/>
        </w:rPr>
      </w:pPr>
    </w:p>
    <w:p w14:paraId="4872B335" w14:textId="4EC5C44D" w:rsidR="00D4173B" w:rsidRPr="008F1896" w:rsidRDefault="00D4173B" w:rsidP="008F1896">
      <w:pPr>
        <w:spacing w:line="276" w:lineRule="auto"/>
        <w:jc w:val="both"/>
        <w:rPr>
          <w:rFonts w:ascii="Calibri" w:eastAsia="Times New Roman" w:hAnsi="Calibri" w:cs="Calibri"/>
          <w:lang w:val="en-US"/>
        </w:rPr>
      </w:pPr>
      <w:r w:rsidRPr="008F1896">
        <w:rPr>
          <w:rFonts w:ascii="Calibri" w:eastAsia="Times New Roman" w:hAnsi="Calibri" w:cs="Calibri"/>
          <w:lang w:val="en-US"/>
        </w:rPr>
        <w:t xml:space="preserve">The minimum passing score for the technical evaluation is </w:t>
      </w:r>
      <w:r w:rsidR="00460B44" w:rsidRPr="008F1896">
        <w:rPr>
          <w:rFonts w:ascii="Calibri" w:eastAsia="Times New Roman" w:hAnsi="Calibri" w:cs="Calibri"/>
          <w:u w:val="single"/>
          <w:lang w:val="en-US"/>
        </w:rPr>
        <w:t>3</w:t>
      </w:r>
      <w:r w:rsidR="00F176C9" w:rsidRPr="008F1896">
        <w:rPr>
          <w:rFonts w:ascii="Calibri" w:eastAsia="Times New Roman" w:hAnsi="Calibri" w:cs="Calibri"/>
          <w:u w:val="single"/>
          <w:lang w:val="en-US"/>
        </w:rPr>
        <w:t>5</w:t>
      </w:r>
      <w:r w:rsidRPr="008F1896">
        <w:rPr>
          <w:rFonts w:ascii="Calibri" w:eastAsia="Times New Roman" w:hAnsi="Calibri" w:cs="Calibri"/>
          <w:u w:val="single"/>
          <w:lang w:val="en-US"/>
        </w:rPr>
        <w:t xml:space="preserve"> of </w:t>
      </w:r>
      <w:r w:rsidR="00F176C9" w:rsidRPr="008F1896">
        <w:rPr>
          <w:rFonts w:ascii="Calibri" w:eastAsia="Times New Roman" w:hAnsi="Calibri" w:cs="Calibri"/>
          <w:u w:val="single"/>
          <w:lang w:val="en-US"/>
        </w:rPr>
        <w:t>50</w:t>
      </w:r>
      <w:r w:rsidRPr="008F1896">
        <w:rPr>
          <w:rFonts w:ascii="Calibri" w:eastAsia="Times New Roman" w:hAnsi="Calibri" w:cs="Calibri"/>
          <w:lang w:val="en-US"/>
        </w:rPr>
        <w:t xml:space="preserve">. </w:t>
      </w:r>
    </w:p>
    <w:p w14:paraId="138E2295" w14:textId="407C36D2" w:rsidR="00D4173B" w:rsidRDefault="00D4173B" w:rsidP="00D4173B">
      <w:pPr>
        <w:spacing w:line="276" w:lineRule="auto"/>
        <w:jc w:val="both"/>
        <w:rPr>
          <w:rFonts w:ascii="Calibri" w:eastAsia="Times New Roman" w:hAnsi="Calibri" w:cs="Calibri"/>
          <w:lang w:val="en-US"/>
        </w:rPr>
      </w:pPr>
    </w:p>
    <w:p w14:paraId="784FEE8D" w14:textId="5549FFDB" w:rsidR="008F1896" w:rsidRDefault="008F1896" w:rsidP="00D4173B">
      <w:pPr>
        <w:spacing w:line="276" w:lineRule="auto"/>
        <w:jc w:val="both"/>
        <w:rPr>
          <w:rFonts w:ascii="Calibri" w:eastAsia="Times New Roman" w:hAnsi="Calibri" w:cs="Calibri"/>
          <w:lang w:val="en-US"/>
        </w:rPr>
      </w:pPr>
    </w:p>
    <w:p w14:paraId="12E95FC9" w14:textId="77777777" w:rsidR="008F1896" w:rsidRPr="00D4173B" w:rsidRDefault="008F1896" w:rsidP="00D4173B">
      <w:pPr>
        <w:spacing w:line="276" w:lineRule="auto"/>
        <w:jc w:val="both"/>
        <w:rPr>
          <w:rFonts w:ascii="Calibri" w:eastAsia="Times New Roman" w:hAnsi="Calibri" w:cs="Calibri"/>
          <w:lang w:val="en-US"/>
        </w:rPr>
      </w:pPr>
    </w:p>
    <w:p w14:paraId="5E81D0FE" w14:textId="208E0A59" w:rsidR="008F1896" w:rsidRDefault="008F1896" w:rsidP="00695D30">
      <w:pPr>
        <w:tabs>
          <w:tab w:val="right" w:pos="7254"/>
        </w:tabs>
        <w:spacing w:before="120" w:after="120"/>
        <w:jc w:val="both"/>
        <w:rPr>
          <w:rFonts w:asciiTheme="majorHAnsi" w:hAnsiTheme="majorHAnsi" w:cstheme="majorHAnsi"/>
          <w:b/>
          <w:bCs/>
        </w:rPr>
      </w:pPr>
      <w:r w:rsidRPr="008F1896">
        <w:rPr>
          <w:rFonts w:asciiTheme="majorHAnsi" w:hAnsiTheme="majorHAnsi" w:cstheme="majorHAnsi"/>
          <w:b/>
          <w:bCs/>
        </w:rPr>
        <w:t>Financial Evaluation 50%</w:t>
      </w:r>
    </w:p>
    <w:p w14:paraId="042FC55D" w14:textId="29257F89" w:rsidR="008F1896" w:rsidRPr="008F1896" w:rsidRDefault="008F1896" w:rsidP="00695D30">
      <w:pPr>
        <w:tabs>
          <w:tab w:val="right" w:pos="7254"/>
        </w:tabs>
        <w:spacing w:before="120" w:after="120"/>
        <w:jc w:val="both"/>
        <w:rPr>
          <w:rFonts w:asciiTheme="majorHAnsi" w:hAnsiTheme="majorHAnsi" w:cstheme="majorHAnsi"/>
        </w:rPr>
      </w:pPr>
      <w:r w:rsidRPr="008F1896">
        <w:rPr>
          <w:rFonts w:asciiTheme="majorHAnsi" w:hAnsiTheme="majorHAnsi" w:cstheme="majorHAnsi"/>
        </w:rPr>
        <w:t>Bidders who pass the Administrative and Technical evaluation will be financial evaluated</w:t>
      </w:r>
      <w:r>
        <w:rPr>
          <w:rFonts w:asciiTheme="majorHAnsi" w:hAnsiTheme="majorHAnsi" w:cstheme="majorHAnsi"/>
        </w:rPr>
        <w:t>.</w:t>
      </w:r>
    </w:p>
    <w:p w14:paraId="2827E23A" w14:textId="3397B830" w:rsidR="00E732B6" w:rsidRPr="00BF151A" w:rsidRDefault="00E732B6" w:rsidP="00695D30">
      <w:pPr>
        <w:tabs>
          <w:tab w:val="right" w:pos="7254"/>
        </w:tabs>
        <w:spacing w:before="120" w:after="120"/>
        <w:jc w:val="both"/>
        <w:rPr>
          <w:rFonts w:asciiTheme="majorHAnsi" w:hAnsiTheme="majorHAnsi" w:cstheme="majorHAnsi"/>
        </w:rPr>
      </w:pPr>
      <w:r w:rsidRPr="00BF151A">
        <w:rPr>
          <w:rFonts w:asciiTheme="majorHAnsi" w:hAnsiTheme="majorHAnsi" w:cstheme="majorHAnsi"/>
        </w:rPr>
        <w:t>Bidders must not use abnormally high or low rates or prices. If, in MAG’s opinion, the overall tendered amount is abnormally low or high, MAG may exclude the bidder from consideration to undertake the project.</w:t>
      </w:r>
    </w:p>
    <w:p w14:paraId="1D1E9AF2" w14:textId="77777777" w:rsidR="00E732B6" w:rsidRPr="00BF151A" w:rsidRDefault="00E732B6" w:rsidP="00E732B6">
      <w:pPr>
        <w:tabs>
          <w:tab w:val="right" w:pos="7254"/>
        </w:tabs>
        <w:spacing w:before="120" w:after="120"/>
        <w:jc w:val="both"/>
        <w:rPr>
          <w:rFonts w:asciiTheme="majorHAnsi" w:hAnsiTheme="majorHAnsi" w:cstheme="majorHAnsi"/>
        </w:rPr>
      </w:pPr>
      <w:r w:rsidRPr="00BF151A">
        <w:rPr>
          <w:rFonts w:asciiTheme="majorHAnsi" w:hAnsiTheme="majorHAnsi" w:cstheme="majorHAnsi"/>
        </w:rPr>
        <w:t>MAG’s decision on whether a tender is compliant will be final.</w:t>
      </w:r>
    </w:p>
    <w:p w14:paraId="1E199540" w14:textId="567F7325" w:rsidR="00E732B6" w:rsidRPr="00BF151A" w:rsidRDefault="00E732B6" w:rsidP="000C3D92">
      <w:pPr>
        <w:jc w:val="both"/>
        <w:rPr>
          <w:rFonts w:asciiTheme="majorHAnsi" w:hAnsiTheme="majorHAnsi" w:cstheme="majorHAnsi"/>
          <w:b/>
          <w:bCs/>
        </w:rPr>
      </w:pPr>
    </w:p>
    <w:p w14:paraId="2ADDDA82" w14:textId="4143AF69"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1C146893" w14:textId="2FDF9FCB" w:rsidR="000C3D92" w:rsidRPr="00FF253B" w:rsidRDefault="00FF253B" w:rsidP="00FF253B">
      <w:pPr>
        <w:pStyle w:val="ListParagraph"/>
        <w:numPr>
          <w:ilvl w:val="0"/>
          <w:numId w:val="5"/>
        </w:numPr>
        <w:tabs>
          <w:tab w:val="left" w:pos="709"/>
        </w:tabs>
        <w:jc w:val="both"/>
        <w:rPr>
          <w:rFonts w:asciiTheme="majorHAnsi" w:hAnsiTheme="majorHAnsi" w:cstheme="majorHAnsi"/>
        </w:rPr>
      </w:pPr>
      <w:r w:rsidRPr="00FF253B">
        <w:rPr>
          <w:rFonts w:asciiTheme="majorHAnsi" w:hAnsiTheme="majorHAnsi" w:cstheme="majorHAnsi"/>
        </w:rPr>
        <w:t>Within the bids technically and administratively compliant, the evaluation committee awards the market to the: Most economically advantageous (offers that may not be the cheapest in money but that have the best quality or service/price ratio)</w:t>
      </w:r>
      <w:r>
        <w:rPr>
          <w:rFonts w:asciiTheme="majorHAnsi" w:hAnsiTheme="majorHAnsi" w:cstheme="majorHAnsi"/>
        </w:rPr>
        <w:t xml:space="preserve"> </w:t>
      </w:r>
      <w:r w:rsidR="000C3D92" w:rsidRPr="00FF253B">
        <w:rPr>
          <w:rFonts w:asciiTheme="majorHAnsi" w:hAnsiTheme="majorHAnsi" w:cstheme="majorHAnsi"/>
        </w:rPr>
        <w:t>in compliance with the principles of transparency and equal treatment for potential contractors).</w:t>
      </w:r>
    </w:p>
    <w:p w14:paraId="55FC7D7B" w14:textId="601C214F" w:rsidR="000C3D92" w:rsidRPr="00BF151A" w:rsidRDefault="000C3D92" w:rsidP="00C572A7">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BF151A" w:rsidRDefault="000C3D92" w:rsidP="00C572A7">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MAG reserves the right to award the contract to one or more suppliers.</w:t>
      </w:r>
      <w:r w:rsidR="00D87CB4">
        <w:rPr>
          <w:rFonts w:asciiTheme="majorHAnsi" w:hAnsiTheme="majorHAnsi" w:cstheme="majorHAnsi"/>
        </w:rPr>
        <w:t xml:space="preserve"> MAG has the right to negotiate the best and final</w:t>
      </w:r>
      <w:r w:rsidR="001D49F2">
        <w:rPr>
          <w:rFonts w:asciiTheme="majorHAnsi" w:hAnsiTheme="majorHAnsi" w:cstheme="majorHAnsi"/>
        </w:rPr>
        <w:t xml:space="preserve"> offer.</w:t>
      </w:r>
    </w:p>
    <w:p w14:paraId="5F9FA433" w14:textId="0D00D28C" w:rsidR="008C7029" w:rsidRPr="00BF151A" w:rsidRDefault="501E051C" w:rsidP="2900462E">
      <w:pPr>
        <w:pStyle w:val="ListParagraph"/>
        <w:numPr>
          <w:ilvl w:val="0"/>
          <w:numId w:val="5"/>
        </w:numPr>
        <w:tabs>
          <w:tab w:val="right" w:pos="7254"/>
        </w:tabs>
        <w:spacing w:before="120" w:after="120"/>
        <w:jc w:val="both"/>
        <w:rPr>
          <w:rFonts w:asciiTheme="majorHAnsi" w:hAnsiTheme="majorHAnsi" w:cstheme="majorBidi"/>
        </w:rPr>
      </w:pPr>
      <w:r w:rsidRPr="2900462E">
        <w:rPr>
          <w:rFonts w:asciiTheme="majorHAnsi" w:hAnsiTheme="majorHAnsi" w:cstheme="majorBidi"/>
        </w:rPr>
        <w:t xml:space="preserve">Supplier Vetting: MAG will evaluate the suppliers following the MAG </w:t>
      </w:r>
      <w:r w:rsidR="00D87CB4">
        <w:rPr>
          <w:rFonts w:asciiTheme="majorHAnsi" w:hAnsiTheme="majorHAnsi" w:cstheme="majorBidi"/>
        </w:rPr>
        <w:t>v</w:t>
      </w:r>
      <w:r w:rsidRPr="2900462E">
        <w:rPr>
          <w:rFonts w:asciiTheme="majorHAnsi" w:hAnsiTheme="majorHAnsi" w:cstheme="majorBidi"/>
        </w:rPr>
        <w:t xml:space="preserve">etting </w:t>
      </w:r>
      <w:r w:rsidR="00D87CB4">
        <w:rPr>
          <w:rFonts w:asciiTheme="majorHAnsi" w:hAnsiTheme="majorHAnsi" w:cstheme="majorBidi"/>
        </w:rPr>
        <w:t>s</w:t>
      </w:r>
      <w:r w:rsidRPr="2900462E">
        <w:rPr>
          <w:rFonts w:asciiTheme="majorHAnsi" w:hAnsiTheme="majorHAnsi" w:cstheme="majorBidi"/>
        </w:rPr>
        <w:t xml:space="preserve">ystem. Suppliers that </w:t>
      </w:r>
      <w:r w:rsidR="791D1A85" w:rsidRPr="2900462E">
        <w:rPr>
          <w:rFonts w:asciiTheme="majorHAnsi" w:hAnsiTheme="majorHAnsi" w:cstheme="majorBidi"/>
        </w:rPr>
        <w:t>do</w:t>
      </w:r>
      <w:r w:rsidRPr="2900462E">
        <w:rPr>
          <w:rFonts w:asciiTheme="majorHAnsi" w:hAnsiTheme="majorHAnsi" w:cstheme="majorBidi"/>
        </w:rPr>
        <w:t xml:space="preserve"> not meet the vetting requirements will be disqualified.</w:t>
      </w:r>
    </w:p>
    <w:p w14:paraId="0A6B1332" w14:textId="76FA985B" w:rsidR="008C7029" w:rsidRPr="00BF151A" w:rsidRDefault="501E051C" w:rsidP="4D6C1F9F">
      <w:pPr>
        <w:pStyle w:val="ListParagraph"/>
        <w:numPr>
          <w:ilvl w:val="0"/>
          <w:numId w:val="5"/>
        </w:numPr>
        <w:tabs>
          <w:tab w:val="right" w:pos="7254"/>
        </w:tabs>
        <w:spacing w:before="120" w:after="120"/>
        <w:jc w:val="both"/>
        <w:rPr>
          <w:rFonts w:asciiTheme="majorHAnsi" w:hAnsiTheme="majorHAnsi" w:cstheme="majorBidi"/>
        </w:rPr>
      </w:pPr>
      <w:r w:rsidRPr="446E11E6">
        <w:rPr>
          <w:rFonts w:asciiTheme="majorHAnsi" w:hAnsiTheme="majorHAnsi" w:cstheme="majorBidi"/>
        </w:rPr>
        <w:t xml:space="preserve">Failure to deliver: This </w:t>
      </w:r>
      <w:r w:rsidR="00D87CB4" w:rsidRPr="446E11E6">
        <w:rPr>
          <w:rFonts w:asciiTheme="majorHAnsi" w:hAnsiTheme="majorHAnsi" w:cstheme="majorBidi"/>
        </w:rPr>
        <w:t>t</w:t>
      </w:r>
      <w:r w:rsidRPr="446E11E6">
        <w:rPr>
          <w:rFonts w:asciiTheme="majorHAnsi" w:hAnsiTheme="majorHAnsi" w:cstheme="majorBidi"/>
        </w:rPr>
        <w:t xml:space="preserve">ender will not constitute an exclusive contract and in the event that the supplier cannot meet the specification then another supplier shall be sought by MAG for that </w:t>
      </w:r>
      <w:bookmarkStart w:id="2" w:name="_Int_p3IXeWLs"/>
      <w:r w:rsidRPr="446E11E6">
        <w:rPr>
          <w:rFonts w:asciiTheme="majorHAnsi" w:hAnsiTheme="majorHAnsi" w:cstheme="majorBidi"/>
        </w:rPr>
        <w:t>particular purchase</w:t>
      </w:r>
      <w:bookmarkEnd w:id="2"/>
      <w:r w:rsidRPr="446E11E6">
        <w:rPr>
          <w:rFonts w:asciiTheme="majorHAnsi" w:hAnsiTheme="majorHAnsi" w:cstheme="majorBidi"/>
        </w:rPr>
        <w:t>.</w:t>
      </w:r>
    </w:p>
    <w:p w14:paraId="4B6C9574" w14:textId="0A94A7B8" w:rsidR="007829CE" w:rsidRDefault="008C7029" w:rsidP="007829CE">
      <w:pPr>
        <w:pStyle w:val="ListParagraph"/>
        <w:numPr>
          <w:ilvl w:val="0"/>
          <w:numId w:val="5"/>
        </w:numPr>
        <w:tabs>
          <w:tab w:val="right" w:pos="7254"/>
        </w:tabs>
        <w:spacing w:before="120" w:after="120"/>
        <w:jc w:val="both"/>
        <w:rPr>
          <w:rFonts w:asciiTheme="majorHAnsi" w:hAnsiTheme="majorHAnsi" w:cstheme="majorHAnsi"/>
        </w:rPr>
      </w:pPr>
      <w:r w:rsidRPr="00BF151A">
        <w:rPr>
          <w:rFonts w:asciiTheme="majorHAnsi" w:hAnsiTheme="majorHAnsi" w:cstheme="majorHAnsi"/>
        </w:rPr>
        <w:t>Termination: MAG has the right to terminate agreements arising from this call for tenders at any time.</w:t>
      </w:r>
    </w:p>
    <w:p w14:paraId="03F30362" w14:textId="77777777" w:rsidR="005F1EE9" w:rsidRPr="00D4173B" w:rsidRDefault="005F1EE9" w:rsidP="00D4173B">
      <w:pPr>
        <w:tabs>
          <w:tab w:val="right" w:pos="7254"/>
        </w:tabs>
        <w:spacing w:before="120" w:after="120"/>
        <w:jc w:val="both"/>
        <w:rPr>
          <w:rFonts w:asciiTheme="majorHAnsi" w:hAnsiTheme="majorHAnsi" w:cstheme="majorHAnsi"/>
        </w:rPr>
      </w:pP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AAA80" w14:textId="77777777" w:rsidR="009C5DA4" w:rsidRDefault="009C5DA4" w:rsidP="00C9105C">
      <w:r>
        <w:separator/>
      </w:r>
    </w:p>
  </w:endnote>
  <w:endnote w:type="continuationSeparator" w:id="0">
    <w:p w14:paraId="56A02A8A" w14:textId="77777777" w:rsidR="009C5DA4" w:rsidRDefault="009C5DA4" w:rsidP="00C9105C">
      <w:r>
        <w:continuationSeparator/>
      </w:r>
    </w:p>
  </w:endnote>
  <w:endnote w:type="continuationNotice" w:id="1">
    <w:p w14:paraId="0C8B8056" w14:textId="77777777" w:rsidR="009C5DA4" w:rsidRDefault="009C5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028A1BF9" w:rsidR="00B22821" w:rsidRPr="00796EB3" w:rsidRDefault="00B22821"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7</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D3E09" w14:textId="77777777" w:rsidR="009C5DA4" w:rsidRDefault="009C5DA4" w:rsidP="00C9105C">
      <w:r>
        <w:separator/>
      </w:r>
    </w:p>
  </w:footnote>
  <w:footnote w:type="continuationSeparator" w:id="0">
    <w:p w14:paraId="4246DD93" w14:textId="77777777" w:rsidR="009C5DA4" w:rsidRDefault="009C5DA4" w:rsidP="00C9105C">
      <w:r>
        <w:continuationSeparator/>
      </w:r>
    </w:p>
  </w:footnote>
  <w:footnote w:type="continuationNotice" w:id="1">
    <w:p w14:paraId="5F0EBF8F" w14:textId="77777777" w:rsidR="009C5DA4" w:rsidRDefault="009C5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B22821" w:rsidRPr="00110EB7" w:rsidRDefault="00B22821"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8240"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B22821" w:rsidRPr="005B6854" w:rsidRDefault="00B22821" w:rsidP="005B6854">
    <w:pPr>
      <w:pStyle w:val="Header"/>
      <w:jc w:val="center"/>
    </w:pPr>
    <w:r>
      <w:rPr>
        <w:noProof/>
        <w:lang w:eastAsia="en-GB"/>
      </w:rPr>
      <mc:AlternateContent>
        <mc:Choice Requires="wps">
          <w:drawing>
            <wp:anchor distT="0" distB="0" distL="114300" distR="114300" simplePos="0" relativeHeight="251658241"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1AE42"/>
    <w:multiLevelType w:val="hybridMultilevel"/>
    <w:tmpl w:val="4FDE80E4"/>
    <w:lvl w:ilvl="0" w:tplc="0FF21460">
      <w:start w:val="1"/>
      <w:numFmt w:val="bullet"/>
      <w:lvlText w:val="-"/>
      <w:lvlJc w:val="left"/>
      <w:pPr>
        <w:ind w:left="720" w:hanging="360"/>
      </w:pPr>
      <w:rPr>
        <w:rFonts w:ascii="Calibri" w:hAnsi="Calibri" w:hint="default"/>
      </w:rPr>
    </w:lvl>
    <w:lvl w:ilvl="1" w:tplc="F4F4CB52">
      <w:start w:val="1"/>
      <w:numFmt w:val="bullet"/>
      <w:lvlText w:val="o"/>
      <w:lvlJc w:val="left"/>
      <w:pPr>
        <w:ind w:left="1440" w:hanging="360"/>
      </w:pPr>
      <w:rPr>
        <w:rFonts w:ascii="Courier New" w:hAnsi="Courier New" w:hint="default"/>
      </w:rPr>
    </w:lvl>
    <w:lvl w:ilvl="2" w:tplc="C40805A4">
      <w:start w:val="1"/>
      <w:numFmt w:val="bullet"/>
      <w:lvlText w:val=""/>
      <w:lvlJc w:val="left"/>
      <w:pPr>
        <w:ind w:left="2160" w:hanging="360"/>
      </w:pPr>
      <w:rPr>
        <w:rFonts w:ascii="Wingdings" w:hAnsi="Wingdings" w:hint="default"/>
      </w:rPr>
    </w:lvl>
    <w:lvl w:ilvl="3" w:tplc="DBA4CD60">
      <w:start w:val="1"/>
      <w:numFmt w:val="bullet"/>
      <w:lvlText w:val=""/>
      <w:lvlJc w:val="left"/>
      <w:pPr>
        <w:ind w:left="2880" w:hanging="360"/>
      </w:pPr>
      <w:rPr>
        <w:rFonts w:ascii="Symbol" w:hAnsi="Symbol" w:hint="default"/>
      </w:rPr>
    </w:lvl>
    <w:lvl w:ilvl="4" w:tplc="655617E2">
      <w:start w:val="1"/>
      <w:numFmt w:val="bullet"/>
      <w:lvlText w:val="o"/>
      <w:lvlJc w:val="left"/>
      <w:pPr>
        <w:ind w:left="3600" w:hanging="360"/>
      </w:pPr>
      <w:rPr>
        <w:rFonts w:ascii="Courier New" w:hAnsi="Courier New" w:hint="default"/>
      </w:rPr>
    </w:lvl>
    <w:lvl w:ilvl="5" w:tplc="9572AF90">
      <w:start w:val="1"/>
      <w:numFmt w:val="bullet"/>
      <w:lvlText w:val=""/>
      <w:lvlJc w:val="left"/>
      <w:pPr>
        <w:ind w:left="4320" w:hanging="360"/>
      </w:pPr>
      <w:rPr>
        <w:rFonts w:ascii="Wingdings" w:hAnsi="Wingdings" w:hint="default"/>
      </w:rPr>
    </w:lvl>
    <w:lvl w:ilvl="6" w:tplc="B25E6FD6">
      <w:start w:val="1"/>
      <w:numFmt w:val="bullet"/>
      <w:lvlText w:val=""/>
      <w:lvlJc w:val="left"/>
      <w:pPr>
        <w:ind w:left="5040" w:hanging="360"/>
      </w:pPr>
      <w:rPr>
        <w:rFonts w:ascii="Symbol" w:hAnsi="Symbol" w:hint="default"/>
      </w:rPr>
    </w:lvl>
    <w:lvl w:ilvl="7" w:tplc="E03C07DE">
      <w:start w:val="1"/>
      <w:numFmt w:val="bullet"/>
      <w:lvlText w:val="o"/>
      <w:lvlJc w:val="left"/>
      <w:pPr>
        <w:ind w:left="5760" w:hanging="360"/>
      </w:pPr>
      <w:rPr>
        <w:rFonts w:ascii="Courier New" w:hAnsi="Courier New" w:hint="default"/>
      </w:rPr>
    </w:lvl>
    <w:lvl w:ilvl="8" w:tplc="4FAC07D8">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7"/>
  </w:num>
  <w:num w:numId="5">
    <w:abstractNumId w:val="6"/>
  </w:num>
  <w:num w:numId="6">
    <w:abstractNumId w:val="9"/>
  </w:num>
  <w:num w:numId="7">
    <w:abstractNumId w:val="3"/>
  </w:num>
  <w:num w:numId="8">
    <w:abstractNumId w:val="0"/>
  </w:num>
  <w:num w:numId="9">
    <w:abstractNumId w:val="8"/>
  </w:num>
  <w:num w:numId="10">
    <w:abstractNumId w:val="1"/>
  </w:num>
  <w:num w:numId="11">
    <w:abstractNumId w:val="1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10F1"/>
    <w:rsid w:val="00062DEC"/>
    <w:rsid w:val="000641D8"/>
    <w:rsid w:val="00065785"/>
    <w:rsid w:val="00065A2C"/>
    <w:rsid w:val="000811F8"/>
    <w:rsid w:val="00086CCA"/>
    <w:rsid w:val="00087BFA"/>
    <w:rsid w:val="00087C12"/>
    <w:rsid w:val="000938CB"/>
    <w:rsid w:val="000A5B2D"/>
    <w:rsid w:val="000A68C4"/>
    <w:rsid w:val="000A7F79"/>
    <w:rsid w:val="000B714B"/>
    <w:rsid w:val="000B7F0C"/>
    <w:rsid w:val="000C3A3F"/>
    <w:rsid w:val="000C3D92"/>
    <w:rsid w:val="000C5890"/>
    <w:rsid w:val="000D0683"/>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2B9E"/>
    <w:rsid w:val="0013382E"/>
    <w:rsid w:val="001404FD"/>
    <w:rsid w:val="00142561"/>
    <w:rsid w:val="00154886"/>
    <w:rsid w:val="001612AF"/>
    <w:rsid w:val="00170603"/>
    <w:rsid w:val="001823AA"/>
    <w:rsid w:val="0018284C"/>
    <w:rsid w:val="00185ECB"/>
    <w:rsid w:val="001A0E47"/>
    <w:rsid w:val="001A5600"/>
    <w:rsid w:val="001A7219"/>
    <w:rsid w:val="001B1121"/>
    <w:rsid w:val="001B2E97"/>
    <w:rsid w:val="001C5B71"/>
    <w:rsid w:val="001D17CC"/>
    <w:rsid w:val="001D49F2"/>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44D"/>
    <w:rsid w:val="00237D8C"/>
    <w:rsid w:val="00245247"/>
    <w:rsid w:val="0025264A"/>
    <w:rsid w:val="002601C4"/>
    <w:rsid w:val="00260E27"/>
    <w:rsid w:val="00264641"/>
    <w:rsid w:val="00265A3B"/>
    <w:rsid w:val="00271582"/>
    <w:rsid w:val="00276005"/>
    <w:rsid w:val="0028239B"/>
    <w:rsid w:val="00291001"/>
    <w:rsid w:val="0029297B"/>
    <w:rsid w:val="00297B1D"/>
    <w:rsid w:val="002A007A"/>
    <w:rsid w:val="002A2FE5"/>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2130"/>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80764"/>
    <w:rsid w:val="00384FB4"/>
    <w:rsid w:val="00391019"/>
    <w:rsid w:val="003A0A36"/>
    <w:rsid w:val="003A35BF"/>
    <w:rsid w:val="003A5747"/>
    <w:rsid w:val="003A6692"/>
    <w:rsid w:val="003B6567"/>
    <w:rsid w:val="003B6C05"/>
    <w:rsid w:val="003B7920"/>
    <w:rsid w:val="003C7B4D"/>
    <w:rsid w:val="003D196F"/>
    <w:rsid w:val="003D3064"/>
    <w:rsid w:val="003D423C"/>
    <w:rsid w:val="003D426E"/>
    <w:rsid w:val="003E2C06"/>
    <w:rsid w:val="003E604D"/>
    <w:rsid w:val="003E6C90"/>
    <w:rsid w:val="003F2361"/>
    <w:rsid w:val="003F4F8F"/>
    <w:rsid w:val="003F645C"/>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60B44"/>
    <w:rsid w:val="00462A42"/>
    <w:rsid w:val="004658F5"/>
    <w:rsid w:val="00470423"/>
    <w:rsid w:val="00471708"/>
    <w:rsid w:val="00475A0E"/>
    <w:rsid w:val="00476D3E"/>
    <w:rsid w:val="004808C5"/>
    <w:rsid w:val="00483545"/>
    <w:rsid w:val="00493DE0"/>
    <w:rsid w:val="00494876"/>
    <w:rsid w:val="00497918"/>
    <w:rsid w:val="00497A25"/>
    <w:rsid w:val="004A4BB3"/>
    <w:rsid w:val="004B258D"/>
    <w:rsid w:val="004C5288"/>
    <w:rsid w:val="004C5FD3"/>
    <w:rsid w:val="004D7FD9"/>
    <w:rsid w:val="004E2C40"/>
    <w:rsid w:val="004E3EEF"/>
    <w:rsid w:val="004E4CDB"/>
    <w:rsid w:val="004F73B4"/>
    <w:rsid w:val="004F7B4F"/>
    <w:rsid w:val="00504383"/>
    <w:rsid w:val="00505166"/>
    <w:rsid w:val="00510372"/>
    <w:rsid w:val="005103ED"/>
    <w:rsid w:val="00521002"/>
    <w:rsid w:val="0052124D"/>
    <w:rsid w:val="005249AD"/>
    <w:rsid w:val="0053186D"/>
    <w:rsid w:val="005373E1"/>
    <w:rsid w:val="00541C4D"/>
    <w:rsid w:val="00544CDA"/>
    <w:rsid w:val="00546513"/>
    <w:rsid w:val="0055444D"/>
    <w:rsid w:val="0055705A"/>
    <w:rsid w:val="0056422C"/>
    <w:rsid w:val="00565FF6"/>
    <w:rsid w:val="0056656B"/>
    <w:rsid w:val="00566A95"/>
    <w:rsid w:val="005724AF"/>
    <w:rsid w:val="005821E1"/>
    <w:rsid w:val="00593D1D"/>
    <w:rsid w:val="005A1C85"/>
    <w:rsid w:val="005A56C1"/>
    <w:rsid w:val="005A6B19"/>
    <w:rsid w:val="005B0F8B"/>
    <w:rsid w:val="005B374F"/>
    <w:rsid w:val="005B6854"/>
    <w:rsid w:val="005B7179"/>
    <w:rsid w:val="005C0482"/>
    <w:rsid w:val="005C4437"/>
    <w:rsid w:val="005C5FAA"/>
    <w:rsid w:val="005D6016"/>
    <w:rsid w:val="005D79CE"/>
    <w:rsid w:val="005E0FD7"/>
    <w:rsid w:val="005E1771"/>
    <w:rsid w:val="005E39D0"/>
    <w:rsid w:val="005E53CB"/>
    <w:rsid w:val="005F1EE9"/>
    <w:rsid w:val="005F2AEF"/>
    <w:rsid w:val="005F4AA4"/>
    <w:rsid w:val="006003DE"/>
    <w:rsid w:val="00600E5F"/>
    <w:rsid w:val="00611CD1"/>
    <w:rsid w:val="0063469D"/>
    <w:rsid w:val="00641E43"/>
    <w:rsid w:val="00645C76"/>
    <w:rsid w:val="006531C1"/>
    <w:rsid w:val="00653365"/>
    <w:rsid w:val="0065681F"/>
    <w:rsid w:val="00656EFE"/>
    <w:rsid w:val="00657DD3"/>
    <w:rsid w:val="00660DD4"/>
    <w:rsid w:val="006667C5"/>
    <w:rsid w:val="006709AD"/>
    <w:rsid w:val="00675687"/>
    <w:rsid w:val="00682928"/>
    <w:rsid w:val="00690637"/>
    <w:rsid w:val="00690734"/>
    <w:rsid w:val="00693C84"/>
    <w:rsid w:val="00694E06"/>
    <w:rsid w:val="00695D30"/>
    <w:rsid w:val="006A2DF6"/>
    <w:rsid w:val="006B020E"/>
    <w:rsid w:val="006B0DF2"/>
    <w:rsid w:val="006B0F08"/>
    <w:rsid w:val="006B19BD"/>
    <w:rsid w:val="006B2D6E"/>
    <w:rsid w:val="006B4FA7"/>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34DC"/>
    <w:rsid w:val="00787CDF"/>
    <w:rsid w:val="007920DC"/>
    <w:rsid w:val="0079675F"/>
    <w:rsid w:val="00796EB3"/>
    <w:rsid w:val="007A3BFD"/>
    <w:rsid w:val="007A4868"/>
    <w:rsid w:val="007C08F2"/>
    <w:rsid w:val="007C0F6A"/>
    <w:rsid w:val="007C10A0"/>
    <w:rsid w:val="007C2ECF"/>
    <w:rsid w:val="007C47AB"/>
    <w:rsid w:val="007D783D"/>
    <w:rsid w:val="007E6249"/>
    <w:rsid w:val="007E7A1F"/>
    <w:rsid w:val="007F480E"/>
    <w:rsid w:val="00800295"/>
    <w:rsid w:val="00804077"/>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3D1"/>
    <w:rsid w:val="00877424"/>
    <w:rsid w:val="008812B8"/>
    <w:rsid w:val="0088197A"/>
    <w:rsid w:val="00887895"/>
    <w:rsid w:val="008910D8"/>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1896"/>
    <w:rsid w:val="008F24C0"/>
    <w:rsid w:val="008F3CE9"/>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90592"/>
    <w:rsid w:val="00995D6A"/>
    <w:rsid w:val="00997885"/>
    <w:rsid w:val="009A3D40"/>
    <w:rsid w:val="009A7762"/>
    <w:rsid w:val="009A776A"/>
    <w:rsid w:val="009B3C4D"/>
    <w:rsid w:val="009C35B5"/>
    <w:rsid w:val="009C47B5"/>
    <w:rsid w:val="009C4D7D"/>
    <w:rsid w:val="009C5DA4"/>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0ACC"/>
    <w:rsid w:val="00A51FEC"/>
    <w:rsid w:val="00A52B55"/>
    <w:rsid w:val="00A5353C"/>
    <w:rsid w:val="00A61191"/>
    <w:rsid w:val="00A7227A"/>
    <w:rsid w:val="00A74D6D"/>
    <w:rsid w:val="00A867D6"/>
    <w:rsid w:val="00A873E5"/>
    <w:rsid w:val="00A90A1D"/>
    <w:rsid w:val="00A95BA5"/>
    <w:rsid w:val="00A96A76"/>
    <w:rsid w:val="00AA5A36"/>
    <w:rsid w:val="00AA66A6"/>
    <w:rsid w:val="00AA77C5"/>
    <w:rsid w:val="00AB3DB4"/>
    <w:rsid w:val="00AB7EC8"/>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2821"/>
    <w:rsid w:val="00B22F0D"/>
    <w:rsid w:val="00B238CE"/>
    <w:rsid w:val="00B254E3"/>
    <w:rsid w:val="00B31781"/>
    <w:rsid w:val="00B33EB0"/>
    <w:rsid w:val="00B35B9D"/>
    <w:rsid w:val="00B36302"/>
    <w:rsid w:val="00B40859"/>
    <w:rsid w:val="00B44800"/>
    <w:rsid w:val="00B50BC0"/>
    <w:rsid w:val="00B5379B"/>
    <w:rsid w:val="00B55ABC"/>
    <w:rsid w:val="00B56746"/>
    <w:rsid w:val="00B6120D"/>
    <w:rsid w:val="00B632E4"/>
    <w:rsid w:val="00B6418E"/>
    <w:rsid w:val="00B64BE2"/>
    <w:rsid w:val="00B65948"/>
    <w:rsid w:val="00B76007"/>
    <w:rsid w:val="00B84384"/>
    <w:rsid w:val="00B851D1"/>
    <w:rsid w:val="00B8620B"/>
    <w:rsid w:val="00B91BEF"/>
    <w:rsid w:val="00BA02C4"/>
    <w:rsid w:val="00BA3BA8"/>
    <w:rsid w:val="00BA69B8"/>
    <w:rsid w:val="00BB09AB"/>
    <w:rsid w:val="00BB1841"/>
    <w:rsid w:val="00BB55DA"/>
    <w:rsid w:val="00BC013C"/>
    <w:rsid w:val="00BC01ED"/>
    <w:rsid w:val="00BD29C0"/>
    <w:rsid w:val="00BD3059"/>
    <w:rsid w:val="00BD3187"/>
    <w:rsid w:val="00BD33F4"/>
    <w:rsid w:val="00BD4E68"/>
    <w:rsid w:val="00BD704E"/>
    <w:rsid w:val="00BE5A62"/>
    <w:rsid w:val="00BF151A"/>
    <w:rsid w:val="00BF1A16"/>
    <w:rsid w:val="00BF30A5"/>
    <w:rsid w:val="00C00C97"/>
    <w:rsid w:val="00C017F0"/>
    <w:rsid w:val="00C077E7"/>
    <w:rsid w:val="00C07F9A"/>
    <w:rsid w:val="00C32EEB"/>
    <w:rsid w:val="00C336B4"/>
    <w:rsid w:val="00C34E4E"/>
    <w:rsid w:val="00C43D3F"/>
    <w:rsid w:val="00C47C99"/>
    <w:rsid w:val="00C51BDE"/>
    <w:rsid w:val="00C53F1E"/>
    <w:rsid w:val="00C54688"/>
    <w:rsid w:val="00C572A7"/>
    <w:rsid w:val="00C73B2D"/>
    <w:rsid w:val="00C77D97"/>
    <w:rsid w:val="00C814EC"/>
    <w:rsid w:val="00C8217F"/>
    <w:rsid w:val="00C90A95"/>
    <w:rsid w:val="00C9105C"/>
    <w:rsid w:val="00CA1452"/>
    <w:rsid w:val="00CA161F"/>
    <w:rsid w:val="00CA1D53"/>
    <w:rsid w:val="00CA4C59"/>
    <w:rsid w:val="00CA6DC0"/>
    <w:rsid w:val="00CB03F9"/>
    <w:rsid w:val="00CB5881"/>
    <w:rsid w:val="00CC398C"/>
    <w:rsid w:val="00CC6D0A"/>
    <w:rsid w:val="00CD3954"/>
    <w:rsid w:val="00CE454F"/>
    <w:rsid w:val="00CE4A70"/>
    <w:rsid w:val="00CF2C4D"/>
    <w:rsid w:val="00CF45E0"/>
    <w:rsid w:val="00D0031B"/>
    <w:rsid w:val="00D00A4A"/>
    <w:rsid w:val="00D071B4"/>
    <w:rsid w:val="00D07805"/>
    <w:rsid w:val="00D1221D"/>
    <w:rsid w:val="00D2249E"/>
    <w:rsid w:val="00D25EF6"/>
    <w:rsid w:val="00D36D66"/>
    <w:rsid w:val="00D37EE9"/>
    <w:rsid w:val="00D402E2"/>
    <w:rsid w:val="00D41221"/>
    <w:rsid w:val="00D4173B"/>
    <w:rsid w:val="00D46AA2"/>
    <w:rsid w:val="00D514AE"/>
    <w:rsid w:val="00D572D2"/>
    <w:rsid w:val="00D61C0F"/>
    <w:rsid w:val="00D61F2E"/>
    <w:rsid w:val="00D63364"/>
    <w:rsid w:val="00D644BC"/>
    <w:rsid w:val="00D73BA6"/>
    <w:rsid w:val="00D758AE"/>
    <w:rsid w:val="00D7714D"/>
    <w:rsid w:val="00D874CD"/>
    <w:rsid w:val="00D87CB4"/>
    <w:rsid w:val="00DB4341"/>
    <w:rsid w:val="00DB4626"/>
    <w:rsid w:val="00DC77E3"/>
    <w:rsid w:val="00DD2D6B"/>
    <w:rsid w:val="00DD3E34"/>
    <w:rsid w:val="00DD448E"/>
    <w:rsid w:val="00DD5677"/>
    <w:rsid w:val="00DE07FA"/>
    <w:rsid w:val="00DE2F01"/>
    <w:rsid w:val="00DF23F3"/>
    <w:rsid w:val="00DF350E"/>
    <w:rsid w:val="00DF4BA2"/>
    <w:rsid w:val="00E02A9A"/>
    <w:rsid w:val="00E03793"/>
    <w:rsid w:val="00E05202"/>
    <w:rsid w:val="00E0699A"/>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2CA5"/>
    <w:rsid w:val="00E97444"/>
    <w:rsid w:val="00EA04E8"/>
    <w:rsid w:val="00EB1B36"/>
    <w:rsid w:val="00EB3E83"/>
    <w:rsid w:val="00EC4243"/>
    <w:rsid w:val="00EC7CAD"/>
    <w:rsid w:val="00EE300B"/>
    <w:rsid w:val="00EE3CF5"/>
    <w:rsid w:val="00EF1C5D"/>
    <w:rsid w:val="00EF2195"/>
    <w:rsid w:val="00F13057"/>
    <w:rsid w:val="00F14E33"/>
    <w:rsid w:val="00F176C9"/>
    <w:rsid w:val="00F20724"/>
    <w:rsid w:val="00F21E84"/>
    <w:rsid w:val="00F241CA"/>
    <w:rsid w:val="00F25622"/>
    <w:rsid w:val="00F35FFB"/>
    <w:rsid w:val="00F41038"/>
    <w:rsid w:val="00F525A9"/>
    <w:rsid w:val="00F52E19"/>
    <w:rsid w:val="00F60CDC"/>
    <w:rsid w:val="00F62D3A"/>
    <w:rsid w:val="00F6435F"/>
    <w:rsid w:val="00F64C37"/>
    <w:rsid w:val="00F66FC9"/>
    <w:rsid w:val="00F677D8"/>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E0EDC"/>
    <w:rsid w:val="00FE10C9"/>
    <w:rsid w:val="00FE4DA4"/>
    <w:rsid w:val="00FE60E2"/>
    <w:rsid w:val="00FE7756"/>
    <w:rsid w:val="00FF0BB2"/>
    <w:rsid w:val="00FF253B"/>
    <w:rsid w:val="04DD4FE5"/>
    <w:rsid w:val="06B78F5A"/>
    <w:rsid w:val="072025E9"/>
    <w:rsid w:val="07416C4F"/>
    <w:rsid w:val="0754BEC4"/>
    <w:rsid w:val="07822707"/>
    <w:rsid w:val="08134E95"/>
    <w:rsid w:val="085DB2BE"/>
    <w:rsid w:val="08F7C9AA"/>
    <w:rsid w:val="09FC8A07"/>
    <w:rsid w:val="0AA8E149"/>
    <w:rsid w:val="0B1796F2"/>
    <w:rsid w:val="0C75FF4A"/>
    <w:rsid w:val="0F502939"/>
    <w:rsid w:val="0FDAFE9E"/>
    <w:rsid w:val="10DAA0FB"/>
    <w:rsid w:val="10E278AD"/>
    <w:rsid w:val="1436CA0A"/>
    <w:rsid w:val="14781783"/>
    <w:rsid w:val="15B6BF9D"/>
    <w:rsid w:val="1657AFE3"/>
    <w:rsid w:val="17F38044"/>
    <w:rsid w:val="183D8F9E"/>
    <w:rsid w:val="18BCA395"/>
    <w:rsid w:val="19D95FFF"/>
    <w:rsid w:val="1C0F1CE7"/>
    <w:rsid w:val="1CA05383"/>
    <w:rsid w:val="1D4518CD"/>
    <w:rsid w:val="1D65B0A1"/>
    <w:rsid w:val="1DE2FC86"/>
    <w:rsid w:val="1E381399"/>
    <w:rsid w:val="1FDACD4C"/>
    <w:rsid w:val="234EF9CE"/>
    <w:rsid w:val="23DC3E3E"/>
    <w:rsid w:val="258C72F4"/>
    <w:rsid w:val="260203C5"/>
    <w:rsid w:val="27651CC1"/>
    <w:rsid w:val="27E3BF64"/>
    <w:rsid w:val="287AB78D"/>
    <w:rsid w:val="2900462E"/>
    <w:rsid w:val="2B69E7FC"/>
    <w:rsid w:val="2B771199"/>
    <w:rsid w:val="2BB42CED"/>
    <w:rsid w:val="2BFB43BB"/>
    <w:rsid w:val="2C0D0EDF"/>
    <w:rsid w:val="2C632D75"/>
    <w:rsid w:val="2CD187FB"/>
    <w:rsid w:val="2EB17958"/>
    <w:rsid w:val="2F4FF687"/>
    <w:rsid w:val="2FF4A9D7"/>
    <w:rsid w:val="3066B2D3"/>
    <w:rsid w:val="314B1024"/>
    <w:rsid w:val="329CA65A"/>
    <w:rsid w:val="34711AD7"/>
    <w:rsid w:val="34B51920"/>
    <w:rsid w:val="3564124D"/>
    <w:rsid w:val="3575ECD5"/>
    <w:rsid w:val="367F037F"/>
    <w:rsid w:val="36C05438"/>
    <w:rsid w:val="398061A3"/>
    <w:rsid w:val="39FC5A42"/>
    <w:rsid w:val="3B70A90C"/>
    <w:rsid w:val="3C021DBF"/>
    <w:rsid w:val="3CDBE1B9"/>
    <w:rsid w:val="3E3C810C"/>
    <w:rsid w:val="3F17B276"/>
    <w:rsid w:val="3FDBA45A"/>
    <w:rsid w:val="40690428"/>
    <w:rsid w:val="41268A36"/>
    <w:rsid w:val="42FE20CF"/>
    <w:rsid w:val="43A33C88"/>
    <w:rsid w:val="440D0E64"/>
    <w:rsid w:val="44103743"/>
    <w:rsid w:val="446E11E6"/>
    <w:rsid w:val="455EEC35"/>
    <w:rsid w:val="46C1B4ED"/>
    <w:rsid w:val="46DADD4A"/>
    <w:rsid w:val="46FCDE1B"/>
    <w:rsid w:val="4876ADAB"/>
    <w:rsid w:val="4898AE7C"/>
    <w:rsid w:val="48A0FC9D"/>
    <w:rsid w:val="4940E498"/>
    <w:rsid w:val="49E26EC0"/>
    <w:rsid w:val="4BFBD984"/>
    <w:rsid w:val="4CA8D122"/>
    <w:rsid w:val="4D6C1F9F"/>
    <w:rsid w:val="4E034784"/>
    <w:rsid w:val="4EC4AEA4"/>
    <w:rsid w:val="4F3A905D"/>
    <w:rsid w:val="4FFBB2F3"/>
    <w:rsid w:val="501E051C"/>
    <w:rsid w:val="52D23570"/>
    <w:rsid w:val="53BE2B1D"/>
    <w:rsid w:val="548F8665"/>
    <w:rsid w:val="562FCB49"/>
    <w:rsid w:val="5776F48D"/>
    <w:rsid w:val="57ED9C7B"/>
    <w:rsid w:val="5806C4D8"/>
    <w:rsid w:val="58D421B2"/>
    <w:rsid w:val="59A3EE90"/>
    <w:rsid w:val="59A5A58D"/>
    <w:rsid w:val="5B033C6C"/>
    <w:rsid w:val="5B6B86E1"/>
    <w:rsid w:val="5CC10D9E"/>
    <w:rsid w:val="5D4A933E"/>
    <w:rsid w:val="5D57EC54"/>
    <w:rsid w:val="5E572E46"/>
    <w:rsid w:val="5E5CDDFF"/>
    <w:rsid w:val="5EC9B4AF"/>
    <w:rsid w:val="60A49F74"/>
    <w:rsid w:val="61138AE6"/>
    <w:rsid w:val="636000C0"/>
    <w:rsid w:val="67ADFDBA"/>
    <w:rsid w:val="695DA1E0"/>
    <w:rsid w:val="6DD7001A"/>
    <w:rsid w:val="6DECC8F3"/>
    <w:rsid w:val="70418162"/>
    <w:rsid w:val="70E41C8A"/>
    <w:rsid w:val="727C64AD"/>
    <w:rsid w:val="741D0B24"/>
    <w:rsid w:val="75B07040"/>
    <w:rsid w:val="7689C97C"/>
    <w:rsid w:val="76FA3B82"/>
    <w:rsid w:val="7736AD73"/>
    <w:rsid w:val="77BF67D2"/>
    <w:rsid w:val="791D1A85"/>
    <w:rsid w:val="7C0A1E96"/>
    <w:rsid w:val="7C4A4100"/>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5043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Heading1Char">
    <w:name w:val="Heading 1 Char"/>
    <w:basedOn w:val="DefaultParagraphFont"/>
    <w:link w:val="Heading1"/>
    <w:uiPriority w:val="9"/>
    <w:rsid w:val="00504383"/>
    <w:rPr>
      <w:rFonts w:asciiTheme="majorHAnsi" w:eastAsiaTheme="majorEastAsia" w:hAnsiTheme="majorHAnsi" w:cstheme="majorBidi"/>
      <w:color w:val="365F91" w:themeColor="accent1" w:themeShade="BF"/>
      <w:sz w:val="32"/>
      <w:szCs w:val="32"/>
      <w:lang w:val="en-GB"/>
    </w:rPr>
  </w:style>
  <w:style w:type="character" w:styleId="UnresolvedMention">
    <w:name w:val="Unresolved Mention"/>
    <w:basedOn w:val="DefaultParagraphFont"/>
    <w:uiPriority w:val="99"/>
    <w:semiHidden/>
    <w:unhideWhenUsed/>
    <w:rsid w:val="0050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628390767">
      <w:bodyDiv w:val="1"/>
      <w:marLeft w:val="0"/>
      <w:marRight w:val="0"/>
      <w:marTop w:val="0"/>
      <w:marBottom w:val="0"/>
      <w:divBdr>
        <w:top w:val="none" w:sz="0" w:space="0" w:color="auto"/>
        <w:left w:val="none" w:sz="0" w:space="0" w:color="auto"/>
        <w:bottom w:val="none" w:sz="0" w:space="0" w:color="auto"/>
        <w:right w:val="none" w:sz="0" w:space="0" w:color="auto"/>
      </w:divBdr>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278683514">
      <w:bodyDiv w:val="1"/>
      <w:marLeft w:val="0"/>
      <w:marRight w:val="0"/>
      <w:marTop w:val="0"/>
      <w:marBottom w:val="0"/>
      <w:divBdr>
        <w:top w:val="none" w:sz="0" w:space="0" w:color="auto"/>
        <w:left w:val="none" w:sz="0" w:space="0" w:color="auto"/>
        <w:bottom w:val="none" w:sz="0" w:space="0" w:color="auto"/>
        <w:right w:val="none" w:sz="0" w:space="0" w:color="auto"/>
      </w:divBdr>
    </w:div>
    <w:div w:id="145335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56789C41-A43B-4CEF-B838-FFA2CCA4E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6F982-35E3-4F81-91D0-9F004F9C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cp:revision>
  <dcterms:created xsi:type="dcterms:W3CDTF">2022-10-13T11:02:00Z</dcterms:created>
  <dcterms:modified xsi:type="dcterms:W3CDTF">2024-12-18T11:29:00Z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AuthorIds_UIVersion_1024">
    <vt:lpwstr>40</vt:lpwstr>
  </property>
  <property fmtid="{D5CDD505-2E9C-101B-9397-08002B2CF9AE}" pid="4" name="MediaServiceImageTags">
    <vt:lpwstr/>
  </property>
</Properties>
</file>