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F79E" w14:textId="2E5F6738" w:rsidR="003B0485" w:rsidRDefault="008C151E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  <w:proofErr w:type="gramStart"/>
      <w:r w:rsidRPr="008C151E">
        <w:rPr>
          <w:rFonts w:ascii="Arial" w:hAnsi="Arial" w:cs="Arial"/>
          <w:b/>
          <w:noProof w:val="0"/>
          <w:color w:val="FF0000"/>
          <w:sz w:val="28"/>
          <w:szCs w:val="28"/>
          <w:u w:val="single"/>
          <w:lang w:val="en-US"/>
        </w:rPr>
        <w:t>Extended</w:t>
      </w:r>
      <w:r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 -</w:t>
      </w:r>
      <w:proofErr w:type="gramEnd"/>
      <w:r w:rsidR="00F810B5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val="en-US"/>
        </w:rPr>
        <w:t>Tender</w:t>
      </w:r>
      <w:r w:rsidR="001A53D4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Notice</w:t>
      </w:r>
      <w:r w:rsidR="003B0485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3F6C1A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>for</w:t>
      </w:r>
      <w:r w:rsidR="007A1445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 xml:space="preserve"> </w:t>
      </w:r>
      <w:r w:rsidR="00241C53" w:rsidRPr="00921DD0">
        <w:rPr>
          <w:rFonts w:ascii="Arial" w:hAnsi="Arial" w:cs="Arial"/>
          <w:b/>
          <w:noProof w:val="0"/>
          <w:sz w:val="28"/>
          <w:szCs w:val="28"/>
          <w:lang w:val="en-US"/>
        </w:rPr>
        <w:t>Provision of Money Transfer Services</w:t>
      </w:r>
    </w:p>
    <w:p w14:paraId="569ADB23" w14:textId="77777777" w:rsidR="00452EB4" w:rsidRPr="00452EB4" w:rsidRDefault="00452EB4" w:rsidP="00452EB4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971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91"/>
        <w:gridCol w:w="288"/>
        <w:gridCol w:w="6628"/>
        <w:gridCol w:w="12"/>
      </w:tblGrid>
      <w:tr w:rsidR="00D90496" w:rsidRPr="00616270" w14:paraId="4C725FE9" w14:textId="77777777" w:rsidTr="00C564AE">
        <w:tc>
          <w:tcPr>
            <w:tcW w:w="2502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91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C564AE">
        <w:tc>
          <w:tcPr>
            <w:tcW w:w="2502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91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12184D11" w14:textId="7652A45B" w:rsidR="00AD12AF" w:rsidRPr="00616270" w:rsidRDefault="008663C2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12</w:t>
            </w:r>
            <w:r w:rsidRPr="008663C2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Nov.</w:t>
            </w:r>
            <w:r w:rsidR="00AD12AF" w:rsidRPr="00616270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616270" w14:paraId="411EF015" w14:textId="77777777" w:rsidTr="00C564AE">
        <w:tc>
          <w:tcPr>
            <w:tcW w:w="2502" w:type="dxa"/>
          </w:tcPr>
          <w:p w14:paraId="5AD65EC9" w14:textId="3C9601A6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DA0D78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lang w:val="en-US"/>
              </w:rPr>
              <w:t>Extended - Submission date</w:t>
            </w:r>
          </w:p>
        </w:tc>
        <w:tc>
          <w:tcPr>
            <w:tcW w:w="291" w:type="dxa"/>
          </w:tcPr>
          <w:p w14:paraId="6CFF297F" w14:textId="032CA3C1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57C8FECA" w14:textId="032C6096" w:rsidR="00C564AE" w:rsidRPr="00C564AE" w:rsidRDefault="00C564AE" w:rsidP="00C564AE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C564AE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  <w:t>0</w:t>
            </w:r>
            <w:r w:rsidR="00CE0AE0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  <w:t>4</w:t>
            </w:r>
            <w:r w:rsidR="003B46AF" w:rsidRPr="003B46AF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vertAlign w:val="superscript"/>
                <w:lang w:val="en-US"/>
              </w:rPr>
              <w:t>th</w:t>
            </w:r>
            <w:r w:rsidR="003B46AF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C564AE"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  <w:t>Dec. 2024 at 16:00 Iraq time</w:t>
            </w:r>
          </w:p>
          <w:p w14:paraId="13E7DD3C" w14:textId="609BE5BA" w:rsidR="00C564AE" w:rsidRPr="00C564AE" w:rsidRDefault="00C564AE" w:rsidP="00C564AE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C564AE" w:rsidRPr="00616270" w14:paraId="379E61AA" w14:textId="77777777" w:rsidTr="00C564AE">
        <w:tc>
          <w:tcPr>
            <w:tcW w:w="2502" w:type="dxa"/>
          </w:tcPr>
          <w:p w14:paraId="5AED32B0" w14:textId="2CFED9F8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91" w:type="dxa"/>
          </w:tcPr>
          <w:p w14:paraId="58BE7AB4" w14:textId="6292E3ED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26B9CD71" w14:textId="33FCBEE4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Multiple</w:t>
            </w:r>
          </w:p>
          <w:p w14:paraId="1E763365" w14:textId="19171CD5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616270" w14:paraId="55F88056" w14:textId="77777777" w:rsidTr="00C564AE">
        <w:tc>
          <w:tcPr>
            <w:tcW w:w="2502" w:type="dxa"/>
          </w:tcPr>
          <w:p w14:paraId="5D957833" w14:textId="347A233E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91" w:type="dxa"/>
          </w:tcPr>
          <w:p w14:paraId="4A311AB6" w14:textId="5E2B3BF9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0630C1CB" w14:textId="3A298075" w:rsidR="00C564AE" w:rsidRPr="00EA4185" w:rsidRDefault="00C564AE" w:rsidP="00C564AE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ITB/IQ/24/011</w:t>
            </w:r>
          </w:p>
          <w:p w14:paraId="58DA9E51" w14:textId="25DC0ECE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616270" w14:paraId="3E72DBBF" w14:textId="77777777" w:rsidTr="00C564AE">
        <w:tc>
          <w:tcPr>
            <w:tcW w:w="2502" w:type="dxa"/>
          </w:tcPr>
          <w:p w14:paraId="546B32A8" w14:textId="64B28E59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91" w:type="dxa"/>
          </w:tcPr>
          <w:p w14:paraId="2F8335D1" w14:textId="4F32FD17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6673908C" w14:textId="5FC61DA4" w:rsidR="00C564AE" w:rsidRPr="00616270" w:rsidRDefault="00C564AE" w:rsidP="00C564AE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Provision of Money Transfer Services   </w:t>
            </w:r>
          </w:p>
          <w:p w14:paraId="57B46426" w14:textId="67C0B1D8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616270" w14:paraId="3A8C8838" w14:textId="77777777" w:rsidTr="00C564AE">
        <w:tc>
          <w:tcPr>
            <w:tcW w:w="2502" w:type="dxa"/>
          </w:tcPr>
          <w:p w14:paraId="57651556" w14:textId="3158B720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91" w:type="dxa"/>
          </w:tcPr>
          <w:p w14:paraId="5BF0741C" w14:textId="237660AF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7CE39F6F" w14:textId="311F1A1C" w:rsidR="00C564AE" w:rsidRPr="00616270" w:rsidRDefault="00C564AE" w:rsidP="00C564A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reputable, licensed suppliers for the provision of Money Transfer Services to establish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</w:t>
            </w:r>
            <w:r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wo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Y</w:t>
            </w:r>
            <w:r w:rsidRPr="00EA418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ears Framework Agreement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to support its operations across various locations in the Republic of Iraq, including, but not limited to the Government and sub-districts of </w:t>
            </w:r>
            <w:r w:rsidRPr="00776A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Ninawa, Baghdad, Anbar, Najaf and Karbala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. Details of the location and sub-district as mentioned </w:t>
            </w:r>
            <w:proofErr w:type="gram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below .</w:t>
            </w:r>
            <w:proofErr w:type="gramEnd"/>
          </w:p>
          <w:p w14:paraId="7AE493B5" w14:textId="3ECA209B" w:rsidR="00C564AE" w:rsidRPr="00616270" w:rsidRDefault="00C564AE" w:rsidP="00C564A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has 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a </w:t>
            </w: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primary service of Money Transfer </w:t>
            </w:r>
            <w:proofErr w:type="gramStart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Services ;</w:t>
            </w:r>
            <w:proofErr w:type="gramEnd"/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 “Cash distribution -To Beneficiaries &amp; Incentives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>’’</w:t>
            </w:r>
          </w:p>
          <w:tbl>
            <w:tblPr>
              <w:tblStyle w:val="GridTable1Light"/>
              <w:tblW w:w="6699" w:type="dxa"/>
              <w:tblLook w:val="04A0" w:firstRow="1" w:lastRow="0" w:firstColumn="1" w:lastColumn="0" w:noHBand="0" w:noVBand="1"/>
            </w:tblPr>
            <w:tblGrid>
              <w:gridCol w:w="826"/>
              <w:gridCol w:w="926"/>
              <w:gridCol w:w="4947"/>
            </w:tblGrid>
            <w:tr w:rsidR="00C564AE" w14:paraId="7B4A229C" w14:textId="77777777" w:rsidTr="00AA68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  <w:hideMark/>
                </w:tcPr>
                <w:p w14:paraId="0AECDC23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17152">
                    <w:rPr>
                      <w:bCs w:val="0"/>
                      <w:sz w:val="20"/>
                      <w:szCs w:val="20"/>
                    </w:rPr>
                    <w:t>LOT #</w:t>
                  </w:r>
                </w:p>
              </w:tc>
              <w:tc>
                <w:tcPr>
                  <w:tcW w:w="691" w:type="pct"/>
                  <w:hideMark/>
                </w:tcPr>
                <w:p w14:paraId="3BC5CF6E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0"/>
                      <w:szCs w:val="20"/>
                    </w:rPr>
                  </w:pPr>
                  <w:r w:rsidRPr="009A5C5D">
                    <w:rPr>
                      <w:bCs w:val="0"/>
                      <w:sz w:val="20"/>
                      <w:szCs w:val="20"/>
                    </w:rPr>
                    <w:t xml:space="preserve">Location </w:t>
                  </w:r>
                </w:p>
              </w:tc>
              <w:tc>
                <w:tcPr>
                  <w:tcW w:w="3692" w:type="pct"/>
                </w:tcPr>
                <w:p w14:paraId="2EB388F4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Sub- district</w:t>
                  </w:r>
                </w:p>
              </w:tc>
            </w:tr>
            <w:tr w:rsidR="00C564AE" w14:paraId="6E19A379" w14:textId="77777777" w:rsidTr="00AA68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  <w:hideMark/>
                </w:tcPr>
                <w:p w14:paraId="661EB002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17152">
                    <w:rPr>
                      <w:bCs w:val="0"/>
                      <w:sz w:val="20"/>
                      <w:szCs w:val="20"/>
                    </w:rPr>
                    <w:t>LOT 1</w:t>
                  </w:r>
                </w:p>
              </w:tc>
              <w:tc>
                <w:tcPr>
                  <w:tcW w:w="691" w:type="pct"/>
                </w:tcPr>
                <w:p w14:paraId="425327F3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Ninawa</w:t>
                  </w:r>
                </w:p>
              </w:tc>
              <w:tc>
                <w:tcPr>
                  <w:tcW w:w="3692" w:type="pct"/>
                  <w:shd w:val="clear" w:color="auto" w:fill="auto"/>
                </w:tcPr>
                <w:p w14:paraId="0B306C59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sub-district</w:t>
                  </w:r>
                </w:p>
              </w:tc>
            </w:tr>
            <w:tr w:rsidR="00C564AE" w14:paraId="3E3BDEFD" w14:textId="77777777" w:rsidTr="00AA68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  <w:hideMark/>
                </w:tcPr>
                <w:p w14:paraId="68A13FAE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sz w:val="20"/>
                      <w:szCs w:val="20"/>
                    </w:rPr>
                  </w:pPr>
                  <w:r w:rsidRPr="00D17152">
                    <w:rPr>
                      <w:sz w:val="20"/>
                      <w:szCs w:val="20"/>
                    </w:rPr>
                    <w:t>LOT 2</w:t>
                  </w:r>
                </w:p>
              </w:tc>
              <w:tc>
                <w:tcPr>
                  <w:tcW w:w="691" w:type="pct"/>
                </w:tcPr>
                <w:p w14:paraId="0D14F79E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Baghdad</w:t>
                  </w:r>
                </w:p>
              </w:tc>
              <w:tc>
                <w:tcPr>
                  <w:tcW w:w="3692" w:type="pct"/>
                  <w:shd w:val="clear" w:color="auto" w:fill="auto"/>
                </w:tcPr>
                <w:p w14:paraId="786C101B" w14:textId="77777777" w:rsidR="00C564AE" w:rsidDel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sub-</w:t>
                  </w:r>
                  <w:proofErr w:type="gramStart"/>
                  <w:r>
                    <w:rPr>
                      <w:sz w:val="20"/>
                      <w:szCs w:val="20"/>
                    </w:rPr>
                    <w:t>district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0687D">
                    <w:rPr>
                      <w:sz w:val="20"/>
                      <w:szCs w:val="20"/>
                    </w:rPr>
                    <w:t xml:space="preserve">(Including Al </w:t>
                  </w:r>
                  <w:proofErr w:type="spellStart"/>
                  <w:r w:rsidRPr="00F0687D">
                    <w:rPr>
                      <w:sz w:val="20"/>
                      <w:szCs w:val="20"/>
                    </w:rPr>
                    <w:t>Tarmiya</w:t>
                  </w:r>
                  <w:proofErr w:type="spellEnd"/>
                  <w:r w:rsidRPr="00F0687D">
                    <w:rPr>
                      <w:sz w:val="20"/>
                      <w:szCs w:val="20"/>
                    </w:rPr>
                    <w:t xml:space="preserve"> and Al </w:t>
                  </w:r>
                  <w:proofErr w:type="spellStart"/>
                  <w:r w:rsidRPr="00F0687D">
                    <w:rPr>
                      <w:sz w:val="20"/>
                      <w:szCs w:val="20"/>
                    </w:rPr>
                    <w:t>Abayachi</w:t>
                  </w:r>
                  <w:proofErr w:type="spellEnd"/>
                  <w:r w:rsidRPr="00F0687D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564AE" w14:paraId="2731CCC3" w14:textId="77777777" w:rsidTr="00AA68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  <w:hideMark/>
                </w:tcPr>
                <w:p w14:paraId="19E67704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sz w:val="20"/>
                      <w:szCs w:val="20"/>
                    </w:rPr>
                  </w:pPr>
                  <w:r w:rsidRPr="00D17152">
                    <w:rPr>
                      <w:sz w:val="20"/>
                      <w:szCs w:val="20"/>
                    </w:rPr>
                    <w:t xml:space="preserve">LOT 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91" w:type="pct"/>
                </w:tcPr>
                <w:p w14:paraId="39708588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Anbar</w:t>
                  </w:r>
                </w:p>
              </w:tc>
              <w:tc>
                <w:tcPr>
                  <w:tcW w:w="3692" w:type="pct"/>
                  <w:shd w:val="clear" w:color="auto" w:fill="auto"/>
                </w:tcPr>
                <w:p w14:paraId="2CBF8B46" w14:textId="77777777" w:rsidR="00C564AE" w:rsidDel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Heet, Falluja, Ramadi, Qaim and Anna</w:t>
                  </w:r>
                </w:p>
              </w:tc>
            </w:tr>
            <w:tr w:rsidR="00C564AE" w14:paraId="08A53773" w14:textId="77777777" w:rsidTr="00AA68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</w:tcPr>
                <w:p w14:paraId="3C891E32" w14:textId="77777777" w:rsidR="00C564AE" w:rsidRPr="00D17152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sz w:val="20"/>
                      <w:szCs w:val="20"/>
                    </w:rPr>
                  </w:pPr>
                  <w:r w:rsidRPr="00D17152">
                    <w:rPr>
                      <w:sz w:val="20"/>
                      <w:szCs w:val="20"/>
                    </w:rPr>
                    <w:t xml:space="preserve">LOT 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1" w:type="pct"/>
                </w:tcPr>
                <w:p w14:paraId="73583755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Najaf</w:t>
                  </w:r>
                </w:p>
              </w:tc>
              <w:tc>
                <w:tcPr>
                  <w:tcW w:w="3692" w:type="pct"/>
                  <w:shd w:val="clear" w:color="auto" w:fill="auto"/>
                </w:tcPr>
                <w:p w14:paraId="1A4FA98C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All sub-district</w:t>
                  </w:r>
                </w:p>
              </w:tc>
            </w:tr>
            <w:tr w:rsidR="00C564AE" w14:paraId="1CFC7734" w14:textId="77777777" w:rsidTr="00AA68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pct"/>
                </w:tcPr>
                <w:p w14:paraId="454CDE90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LOT 5</w:t>
                  </w:r>
                </w:p>
              </w:tc>
              <w:tc>
                <w:tcPr>
                  <w:tcW w:w="691" w:type="pct"/>
                </w:tcPr>
                <w:p w14:paraId="31032576" w14:textId="77777777" w:rsidR="00C564A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Karbala</w:t>
                  </w:r>
                </w:p>
              </w:tc>
              <w:tc>
                <w:tcPr>
                  <w:tcW w:w="3692" w:type="pct"/>
                  <w:shd w:val="clear" w:color="auto" w:fill="auto"/>
                </w:tcPr>
                <w:p w14:paraId="60C0EFF7" w14:textId="77777777" w:rsidR="00C564AE" w:rsidRPr="00785D5E" w:rsidRDefault="00C564AE" w:rsidP="00C564AE">
                  <w:pPr>
                    <w:widowControl w:val="0"/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sub-district</w:t>
                  </w:r>
                </w:p>
              </w:tc>
            </w:tr>
          </w:tbl>
          <w:p w14:paraId="475402F3" w14:textId="77777777" w:rsidR="00C564AE" w:rsidRDefault="00C564AE" w:rsidP="00C564A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2E0374D3" w14:textId="63EE482E" w:rsidR="00C564AE" w:rsidRPr="00616270" w:rsidRDefault="00C564AE" w:rsidP="00C564A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46A04BEB" w14:textId="77777777" w:rsidR="00C564AE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BD1DBD">
              <w:rPr>
                <w:rFonts w:asciiTheme="minorBidi" w:hAnsiTheme="minorBidi"/>
                <w:sz w:val="18"/>
                <w:szCs w:val="18"/>
                <w:lang w:val="en-US"/>
              </w:rPr>
              <w:t>Bidding will be conducted by means of the National Competitive Bidding procedure with qualification as specified in KfW’s Procurement Guidelines (“KfW Guidelines</w:t>
            </w:r>
            <w:proofErr w:type="gramStart"/>
            <w:r w:rsidRPr="00BD1DBD">
              <w:rPr>
                <w:rFonts w:asciiTheme="minorBidi" w:hAnsiTheme="minorBidi"/>
                <w:sz w:val="18"/>
                <w:szCs w:val="18"/>
                <w:lang w:val="en-US"/>
              </w:rPr>
              <w:t>”)  .</w:t>
            </w:r>
            <w:proofErr w:type="gramEnd"/>
          </w:p>
          <w:p w14:paraId="32A33748" w14:textId="788A3ADC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616270" w14:paraId="3DF7AB89" w14:textId="77777777" w:rsidTr="00C564AE">
        <w:tc>
          <w:tcPr>
            <w:tcW w:w="2502" w:type="dxa"/>
          </w:tcPr>
          <w:p w14:paraId="7AB88E24" w14:textId="580A367B" w:rsidR="00C564AE" w:rsidRPr="00616270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91" w:type="dxa"/>
          </w:tcPr>
          <w:p w14:paraId="1531E495" w14:textId="082844BB" w:rsidR="00C564AE" w:rsidRPr="00616270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925" w:type="dxa"/>
            <w:gridSpan w:val="3"/>
          </w:tcPr>
          <w:p w14:paraId="0BE17162" w14:textId="488674D3" w:rsidR="00C564AE" w:rsidRPr="00616270" w:rsidRDefault="00C564AE" w:rsidP="00C564A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If your company is interested in participating in the tender, it requires you to download the Tender package, free of change, using the following</w:t>
            </w: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Pr="003618EA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7DB727F4" w14:textId="77777777" w:rsidR="00C564AE" w:rsidRPr="00616270" w:rsidRDefault="00C564AE" w:rsidP="00C564AE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61AD204" w14:textId="496D0523" w:rsidR="00C564AE" w:rsidRPr="00616270" w:rsidRDefault="00C564AE" w:rsidP="00C564AE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C564AE" w:rsidRPr="002B1715" w14:paraId="3EBC9A1B" w14:textId="77777777" w:rsidTr="00C564AE">
        <w:trPr>
          <w:gridAfter w:val="1"/>
          <w:wAfter w:w="12" w:type="dxa"/>
        </w:trPr>
        <w:tc>
          <w:tcPr>
            <w:tcW w:w="2790" w:type="dxa"/>
            <w:gridSpan w:val="2"/>
          </w:tcPr>
          <w:p w14:paraId="691D8BB1" w14:textId="77777777" w:rsidR="00C564AE" w:rsidRPr="002B1715" w:rsidRDefault="00C564AE" w:rsidP="00C564AE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2D84E848" w14:textId="77777777" w:rsidR="00C564AE" w:rsidRPr="002B1715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ECFE9F8" w14:textId="77777777" w:rsidR="00C564AE" w:rsidRPr="002B1715" w:rsidRDefault="00C564AE" w:rsidP="00C564AE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2B1715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2B171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694FCACC" w14:textId="77777777" w:rsidR="00C564AE" w:rsidRPr="002B1715" w:rsidRDefault="00C564AE" w:rsidP="00C564AE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2B1715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2B1715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2B1715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2B1715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3523F00B" w14:textId="77777777" w:rsidR="00C564AE" w:rsidRPr="002B1715" w:rsidRDefault="00C564AE" w:rsidP="00C564AE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C564AE" w:rsidRPr="002B1715" w14:paraId="4E5B9E4C" w14:textId="77777777" w:rsidTr="00C564AE">
        <w:trPr>
          <w:gridAfter w:val="1"/>
          <w:wAfter w:w="12" w:type="dxa"/>
        </w:trPr>
        <w:tc>
          <w:tcPr>
            <w:tcW w:w="2790" w:type="dxa"/>
            <w:gridSpan w:val="2"/>
          </w:tcPr>
          <w:p w14:paraId="6470DBEB" w14:textId="77777777" w:rsidR="00C564AE" w:rsidRPr="002B1715" w:rsidRDefault="00C564AE" w:rsidP="00C564AE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B171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58B1A59B" w14:textId="77777777" w:rsidR="00C564AE" w:rsidRPr="002B1715" w:rsidRDefault="00C564AE" w:rsidP="00C564AE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22AFFFB" w14:textId="77777777" w:rsidR="00C564AE" w:rsidRPr="002B1715" w:rsidRDefault="00C564AE" w:rsidP="00C564A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>The Bid, as well as all correspondence and documents relating to the Bid shall be written in English</w:t>
            </w:r>
          </w:p>
          <w:p w14:paraId="36AAFD67" w14:textId="77777777" w:rsidR="00C564AE" w:rsidRPr="002B1715" w:rsidRDefault="00C564AE" w:rsidP="00C564AE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8C81B41" w14:textId="77777777" w:rsidR="00C564AE" w:rsidRPr="002B1715" w:rsidRDefault="00C564AE" w:rsidP="00C564A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2B1715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tender deadline expires. It will not be possible to submit your bid after the deadline or outside the </w:t>
            </w:r>
            <w:proofErr w:type="spellStart"/>
            <w:r w:rsidRPr="002B1715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system</w:t>
            </w:r>
          </w:p>
          <w:p w14:paraId="0FCA675B" w14:textId="77777777" w:rsidR="00C564AE" w:rsidRPr="002B1715" w:rsidRDefault="00C564AE" w:rsidP="00C564AE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62EBC042" w14:textId="77777777" w:rsidR="00C564AE" w:rsidRPr="002B1715" w:rsidRDefault="00C564AE" w:rsidP="00C564A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2B17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Pr="002B171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iq.procurement@nrc.no</w:t>
              </w:r>
            </w:hyperlink>
            <w:r w:rsidRPr="002B1715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93B98A5" w14:textId="77777777" w:rsidR="00C564AE" w:rsidRPr="002B1715" w:rsidRDefault="00C564AE" w:rsidP="00C564AE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2BD4B7D5" w14:textId="77777777" w:rsidR="002B1715" w:rsidRPr="002B1715" w:rsidRDefault="002B1715" w:rsidP="002B1715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2B1715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1A9D2146" w14:textId="77777777" w:rsidR="002B1715" w:rsidRPr="002B1715" w:rsidRDefault="002B1715" w:rsidP="002B1715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2B1715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 IRAQ Procurement Department</w:t>
      </w:r>
    </w:p>
    <w:p w14:paraId="4568277D" w14:textId="58F5CF46" w:rsidR="0014596D" w:rsidRDefault="0014596D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</w:p>
    <w:p w14:paraId="60A0C210" w14:textId="47A930FA" w:rsidR="00944C59" w:rsidRPr="00514D34" w:rsidRDefault="00944C59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>----------------------------------------------------------------------------------</w:t>
      </w:r>
    </w:p>
    <w:sectPr w:rsidR="00944C59" w:rsidRPr="00514D34" w:rsidSect="00944C59">
      <w:headerReference w:type="default" r:id="rId13"/>
      <w:footerReference w:type="default" r:id="rId14"/>
      <w:pgSz w:w="11906" w:h="16838"/>
      <w:pgMar w:top="1417" w:right="1417" w:bottom="1134" w:left="1417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5349E" w14:textId="77777777" w:rsidR="00677AC2" w:rsidRDefault="00677AC2" w:rsidP="009F6CD2">
      <w:pPr>
        <w:spacing w:after="0" w:line="240" w:lineRule="auto"/>
      </w:pPr>
      <w:r>
        <w:separator/>
      </w:r>
    </w:p>
  </w:endnote>
  <w:endnote w:type="continuationSeparator" w:id="0">
    <w:p w14:paraId="677449DB" w14:textId="77777777" w:rsidR="00677AC2" w:rsidRDefault="00677AC2" w:rsidP="009F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6592F" w14:textId="68CA477C" w:rsidR="00CC15F2" w:rsidRPr="00930B04" w:rsidRDefault="00930B04" w:rsidP="00930B04">
    <w:pPr>
      <w:pStyle w:val="Footer"/>
    </w:pPr>
    <w:r w:rsidRPr="00452EB4">
      <w:rPr>
        <w:rStyle w:val="FootnoteReference"/>
        <w:color w:val="0070C0"/>
        <w:sz w:val="18"/>
        <w:szCs w:val="18"/>
      </w:rPr>
      <w:footnoteRef/>
    </w:r>
    <w:r w:rsidRPr="00452EB4">
      <w:rPr>
        <w:color w:val="0070C0"/>
        <w:sz w:val="18"/>
        <w:szCs w:val="18"/>
      </w:rPr>
      <w:t xml:space="preserve"> https://www.kfw-entwicklungsbank.de/PDF/Download-Center/PDF-</w:t>
    </w:r>
    <w:r w:rsidRPr="00452EB4">
      <w:rPr>
        <w:color w:val="0070C0"/>
        <w:sz w:val="18"/>
        <w:szCs w:val="18"/>
      </w:rPr>
      <w:br/>
      <w:t>Dokumente-Richtlinien/FZ-Vergaberichtlinien-V-2021-EN.pdf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34CE1" w14:textId="77777777" w:rsidR="00677AC2" w:rsidRDefault="00677AC2" w:rsidP="009F6CD2">
      <w:pPr>
        <w:spacing w:after="0" w:line="240" w:lineRule="auto"/>
      </w:pPr>
      <w:r>
        <w:separator/>
      </w:r>
    </w:p>
  </w:footnote>
  <w:footnote w:type="continuationSeparator" w:id="0">
    <w:p w14:paraId="05F48809" w14:textId="77777777" w:rsidR="00677AC2" w:rsidRDefault="00677AC2" w:rsidP="009F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388109224" name="Picture 388109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qAUAE8rGjiwAAAA="/>
  </w:docVars>
  <w:rsids>
    <w:rsidRoot w:val="005C42EF"/>
    <w:rsid w:val="000059C7"/>
    <w:rsid w:val="00015B5D"/>
    <w:rsid w:val="00077FB9"/>
    <w:rsid w:val="00080D99"/>
    <w:rsid w:val="00082F47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64C68"/>
    <w:rsid w:val="0017343E"/>
    <w:rsid w:val="001A53D4"/>
    <w:rsid w:val="001C67D5"/>
    <w:rsid w:val="00204BA2"/>
    <w:rsid w:val="00216583"/>
    <w:rsid w:val="00217F3D"/>
    <w:rsid w:val="00227FAC"/>
    <w:rsid w:val="00241C53"/>
    <w:rsid w:val="00244CCC"/>
    <w:rsid w:val="0026713C"/>
    <w:rsid w:val="00273DA4"/>
    <w:rsid w:val="0028357A"/>
    <w:rsid w:val="00287E8B"/>
    <w:rsid w:val="002B1715"/>
    <w:rsid w:val="002B479C"/>
    <w:rsid w:val="002C5739"/>
    <w:rsid w:val="002D7F9D"/>
    <w:rsid w:val="00305CC5"/>
    <w:rsid w:val="00316B69"/>
    <w:rsid w:val="00317974"/>
    <w:rsid w:val="0032098D"/>
    <w:rsid w:val="00325509"/>
    <w:rsid w:val="003409DE"/>
    <w:rsid w:val="00342864"/>
    <w:rsid w:val="003618EA"/>
    <w:rsid w:val="00370569"/>
    <w:rsid w:val="003A4731"/>
    <w:rsid w:val="003B0485"/>
    <w:rsid w:val="003B3789"/>
    <w:rsid w:val="003B46AF"/>
    <w:rsid w:val="003B4D13"/>
    <w:rsid w:val="003D2F25"/>
    <w:rsid w:val="003F6C1A"/>
    <w:rsid w:val="00417C51"/>
    <w:rsid w:val="004473BF"/>
    <w:rsid w:val="00452EB4"/>
    <w:rsid w:val="004547F1"/>
    <w:rsid w:val="004760F3"/>
    <w:rsid w:val="00491576"/>
    <w:rsid w:val="00495C4E"/>
    <w:rsid w:val="004A1D80"/>
    <w:rsid w:val="004B4E13"/>
    <w:rsid w:val="004C1BF8"/>
    <w:rsid w:val="004E68B5"/>
    <w:rsid w:val="004F4FF8"/>
    <w:rsid w:val="00501B52"/>
    <w:rsid w:val="00502381"/>
    <w:rsid w:val="00514D34"/>
    <w:rsid w:val="00516BAD"/>
    <w:rsid w:val="00571DA2"/>
    <w:rsid w:val="00595A77"/>
    <w:rsid w:val="005B3FD4"/>
    <w:rsid w:val="005B41DA"/>
    <w:rsid w:val="005C42EF"/>
    <w:rsid w:val="005F7B9F"/>
    <w:rsid w:val="00616270"/>
    <w:rsid w:val="006239B9"/>
    <w:rsid w:val="00626964"/>
    <w:rsid w:val="00641AB4"/>
    <w:rsid w:val="00672BA2"/>
    <w:rsid w:val="00677AC2"/>
    <w:rsid w:val="00681F10"/>
    <w:rsid w:val="006A4A3B"/>
    <w:rsid w:val="006F0430"/>
    <w:rsid w:val="00715431"/>
    <w:rsid w:val="00735EB8"/>
    <w:rsid w:val="00746B53"/>
    <w:rsid w:val="00752D31"/>
    <w:rsid w:val="00776A5E"/>
    <w:rsid w:val="00780C64"/>
    <w:rsid w:val="00782E96"/>
    <w:rsid w:val="00793442"/>
    <w:rsid w:val="007A1445"/>
    <w:rsid w:val="007A16B5"/>
    <w:rsid w:val="007C59A3"/>
    <w:rsid w:val="00804B62"/>
    <w:rsid w:val="0080556D"/>
    <w:rsid w:val="00842E4B"/>
    <w:rsid w:val="008641BE"/>
    <w:rsid w:val="008663C2"/>
    <w:rsid w:val="008A35DF"/>
    <w:rsid w:val="008B4695"/>
    <w:rsid w:val="008B4E65"/>
    <w:rsid w:val="008B7988"/>
    <w:rsid w:val="008C151E"/>
    <w:rsid w:val="008C30F2"/>
    <w:rsid w:val="008C3D56"/>
    <w:rsid w:val="008C491B"/>
    <w:rsid w:val="008E4A24"/>
    <w:rsid w:val="008E7EC1"/>
    <w:rsid w:val="008F185F"/>
    <w:rsid w:val="00900A04"/>
    <w:rsid w:val="00921DD0"/>
    <w:rsid w:val="00930815"/>
    <w:rsid w:val="00930B04"/>
    <w:rsid w:val="00944C59"/>
    <w:rsid w:val="0095420F"/>
    <w:rsid w:val="00974481"/>
    <w:rsid w:val="009B7349"/>
    <w:rsid w:val="009C0F6E"/>
    <w:rsid w:val="009E0D9B"/>
    <w:rsid w:val="009F6CD2"/>
    <w:rsid w:val="00A14D65"/>
    <w:rsid w:val="00A307B7"/>
    <w:rsid w:val="00A45759"/>
    <w:rsid w:val="00A50E31"/>
    <w:rsid w:val="00A73CAA"/>
    <w:rsid w:val="00A90AC2"/>
    <w:rsid w:val="00A93614"/>
    <w:rsid w:val="00AA68C8"/>
    <w:rsid w:val="00AC5790"/>
    <w:rsid w:val="00AD12AF"/>
    <w:rsid w:val="00AD1B5A"/>
    <w:rsid w:val="00B02CA1"/>
    <w:rsid w:val="00B04A2F"/>
    <w:rsid w:val="00B218BD"/>
    <w:rsid w:val="00B22306"/>
    <w:rsid w:val="00B22FE6"/>
    <w:rsid w:val="00B25515"/>
    <w:rsid w:val="00B34440"/>
    <w:rsid w:val="00B359C9"/>
    <w:rsid w:val="00B35A26"/>
    <w:rsid w:val="00B92E6F"/>
    <w:rsid w:val="00B93AAA"/>
    <w:rsid w:val="00BA5CE2"/>
    <w:rsid w:val="00BD1DBD"/>
    <w:rsid w:val="00BD6C08"/>
    <w:rsid w:val="00BE622F"/>
    <w:rsid w:val="00BF4D2A"/>
    <w:rsid w:val="00C14D5A"/>
    <w:rsid w:val="00C15BCC"/>
    <w:rsid w:val="00C37F41"/>
    <w:rsid w:val="00C53A59"/>
    <w:rsid w:val="00C564AE"/>
    <w:rsid w:val="00C6109F"/>
    <w:rsid w:val="00C70119"/>
    <w:rsid w:val="00CA1BD5"/>
    <w:rsid w:val="00CA6F89"/>
    <w:rsid w:val="00CC15F2"/>
    <w:rsid w:val="00CE0AE0"/>
    <w:rsid w:val="00CE2E59"/>
    <w:rsid w:val="00CE5481"/>
    <w:rsid w:val="00CF0A61"/>
    <w:rsid w:val="00D525CE"/>
    <w:rsid w:val="00D630F0"/>
    <w:rsid w:val="00D87B40"/>
    <w:rsid w:val="00D90496"/>
    <w:rsid w:val="00DA4677"/>
    <w:rsid w:val="00DE2379"/>
    <w:rsid w:val="00E05346"/>
    <w:rsid w:val="00E263E8"/>
    <w:rsid w:val="00E46E3D"/>
    <w:rsid w:val="00E647CF"/>
    <w:rsid w:val="00E92C63"/>
    <w:rsid w:val="00EA4185"/>
    <w:rsid w:val="00EB291C"/>
    <w:rsid w:val="00EB6287"/>
    <w:rsid w:val="00EF1EE2"/>
    <w:rsid w:val="00F20ACB"/>
    <w:rsid w:val="00F35D89"/>
    <w:rsid w:val="00F43001"/>
    <w:rsid w:val="00F56821"/>
    <w:rsid w:val="00F7413A"/>
    <w:rsid w:val="00F810B5"/>
    <w:rsid w:val="00F8321A"/>
    <w:rsid w:val="00F86A10"/>
    <w:rsid w:val="00F901C3"/>
    <w:rsid w:val="00FB5B08"/>
    <w:rsid w:val="00FB5B76"/>
    <w:rsid w:val="00FB70C9"/>
    <w:rsid w:val="00FD75EB"/>
    <w:rsid w:val="00FF0AB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A68C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procurement@nrc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tUxV%2flreTTY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2D6DD-625A-44F0-85D3-3F29BD2D7C9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AA7A3A29-6710-474D-8F75-0D89B806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2080</Characters>
  <Application>Microsoft Office Word</Application>
  <DocSecurity>0</DocSecurity>
  <Lines>99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Samer Abdulrahman</cp:lastModifiedBy>
  <cp:revision>8</cp:revision>
  <cp:lastPrinted>2024-12-02T12:49:00Z</cp:lastPrinted>
  <dcterms:created xsi:type="dcterms:W3CDTF">2024-12-02T10:47:00Z</dcterms:created>
  <dcterms:modified xsi:type="dcterms:W3CDTF">2024-12-02T12:49:00Z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