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8F3CB" w14:textId="1A17C320" w:rsidR="00B40F7E" w:rsidRDefault="00826907" w:rsidP="00B40F7E">
      <w:pPr>
        <w:spacing w:before="0" w:after="160" w:line="259" w:lineRule="auto"/>
        <w:rPr>
          <w:rFonts w:ascii="Overpass" w:eastAsia="Calibri" w:hAnsi="Overpass" w:cs="Cordia New"/>
          <w:b/>
          <w:bCs/>
          <w:color w:val="1E2DBE"/>
          <w:sz w:val="32"/>
          <w:szCs w:val="32"/>
          <w:lang w:val="en-US" w:bidi="th-TH"/>
        </w:rPr>
      </w:pPr>
      <w:r w:rsidRPr="003432F4">
        <w:rPr>
          <w:rFonts w:ascii="Calibri" w:eastAsia="Calibri" w:hAnsi="Calibri" w:cs="Cordia New"/>
          <w:sz w:val="22"/>
          <w:szCs w:val="28"/>
          <w:lang w:val="en-US" w:bidi="th-TH"/>
        </w:rPr>
        <w:br/>
      </w:r>
      <w:r w:rsidR="00C67886">
        <w:rPr>
          <w:rFonts w:ascii="Overpass" w:eastAsia="Calibri" w:hAnsi="Overpass" w:cs="Cordia New"/>
          <w:b/>
          <w:bCs/>
          <w:color w:val="1E2DBE"/>
          <w:sz w:val="32"/>
          <w:szCs w:val="32"/>
          <w:lang w:val="en-US" w:bidi="th-TH"/>
        </w:rPr>
        <w:t>Evidence</w:t>
      </w:r>
      <w:r w:rsidR="008B0AAB">
        <w:rPr>
          <w:rFonts w:ascii="Overpass" w:eastAsia="Calibri" w:hAnsi="Overpass" w:cs="Cordia New"/>
          <w:b/>
          <w:bCs/>
          <w:color w:val="1E2DBE"/>
          <w:sz w:val="32"/>
          <w:szCs w:val="32"/>
          <w:lang w:val="en-US" w:bidi="th-TH"/>
        </w:rPr>
        <w:t>-</w:t>
      </w:r>
      <w:r w:rsidR="00C67886">
        <w:rPr>
          <w:rFonts w:ascii="Overpass" w:eastAsia="Calibri" w:hAnsi="Overpass" w:cs="Cordia New"/>
          <w:b/>
          <w:bCs/>
          <w:color w:val="1E2DBE"/>
          <w:sz w:val="32"/>
          <w:szCs w:val="32"/>
          <w:lang w:val="en-US" w:bidi="th-TH"/>
        </w:rPr>
        <w:t xml:space="preserve">based </w:t>
      </w:r>
      <w:r w:rsidR="007B4D7B">
        <w:rPr>
          <w:rFonts w:ascii="Overpass" w:eastAsia="Calibri" w:hAnsi="Overpass" w:cs="Cordia New"/>
          <w:b/>
          <w:bCs/>
          <w:color w:val="1E2DBE"/>
          <w:sz w:val="32"/>
          <w:szCs w:val="32"/>
          <w:lang w:val="en-US" w:bidi="th-TH"/>
        </w:rPr>
        <w:t>Inclusive polic</w:t>
      </w:r>
      <w:r w:rsidR="00C67886">
        <w:rPr>
          <w:rFonts w:ascii="Overpass" w:eastAsia="Calibri" w:hAnsi="Overpass" w:cs="Cordia New"/>
          <w:b/>
          <w:bCs/>
          <w:color w:val="1E2DBE"/>
          <w:sz w:val="32"/>
          <w:szCs w:val="32"/>
          <w:lang w:val="en-US" w:bidi="th-TH"/>
        </w:rPr>
        <w:t>y development</w:t>
      </w:r>
      <w:r w:rsidR="00EE79E8">
        <w:rPr>
          <w:rFonts w:ascii="Overpass" w:eastAsia="Calibri" w:hAnsi="Overpass" w:cs="Cordia New"/>
          <w:b/>
          <w:bCs/>
          <w:color w:val="1E2DBE"/>
          <w:sz w:val="32"/>
          <w:szCs w:val="32"/>
          <w:lang w:val="en-US" w:bidi="th-TH"/>
        </w:rPr>
        <w:t xml:space="preserve"> </w:t>
      </w:r>
      <w:r w:rsidR="008B0AAB">
        <w:rPr>
          <w:rFonts w:ascii="Overpass" w:eastAsia="Calibri" w:hAnsi="Overpass" w:cs="Cordia New"/>
          <w:b/>
          <w:bCs/>
          <w:color w:val="1E2DBE"/>
          <w:sz w:val="32"/>
          <w:szCs w:val="32"/>
          <w:lang w:val="en-US" w:bidi="th-TH"/>
        </w:rPr>
        <w:t>for</w:t>
      </w:r>
      <w:r w:rsidR="00E94D80">
        <w:rPr>
          <w:rFonts w:ascii="Overpass" w:eastAsia="Calibri" w:hAnsi="Overpass" w:cs="Cordia New"/>
          <w:b/>
          <w:bCs/>
          <w:color w:val="1E2DBE"/>
          <w:sz w:val="32"/>
          <w:szCs w:val="32"/>
          <w:lang w:val="en-US" w:bidi="th-TH"/>
        </w:rPr>
        <w:t xml:space="preserve"> improve</w:t>
      </w:r>
      <w:r w:rsidR="0036768B">
        <w:rPr>
          <w:rFonts w:ascii="Overpass" w:eastAsia="Calibri" w:hAnsi="Overpass" w:cs="Cordia New"/>
          <w:b/>
          <w:bCs/>
          <w:color w:val="1E2DBE"/>
          <w:sz w:val="32"/>
          <w:szCs w:val="32"/>
          <w:lang w:val="en-US" w:bidi="th-TH"/>
        </w:rPr>
        <w:t xml:space="preserve">d </w:t>
      </w:r>
      <w:r w:rsidR="008B0AAB">
        <w:rPr>
          <w:rFonts w:ascii="Overpass" w:eastAsia="Calibri" w:hAnsi="Overpass" w:cs="Cordia New"/>
          <w:b/>
          <w:bCs/>
          <w:color w:val="1E2DBE"/>
          <w:sz w:val="32"/>
          <w:szCs w:val="32"/>
          <w:lang w:val="en-US" w:bidi="th-TH"/>
        </w:rPr>
        <w:t>labour</w:t>
      </w:r>
      <w:r w:rsidR="00350C8E">
        <w:rPr>
          <w:rFonts w:ascii="Overpass" w:eastAsia="Calibri" w:hAnsi="Overpass" w:cs="Cordia New"/>
          <w:b/>
          <w:bCs/>
          <w:color w:val="1E2DBE"/>
          <w:sz w:val="32"/>
          <w:szCs w:val="32"/>
          <w:lang w:val="en-US" w:bidi="th-TH"/>
        </w:rPr>
        <w:t xml:space="preserve"> market</w:t>
      </w:r>
      <w:r w:rsidR="00CD4F96">
        <w:rPr>
          <w:rFonts w:ascii="Overpass" w:eastAsia="Calibri" w:hAnsi="Overpass" w:cs="Cordia New"/>
          <w:b/>
          <w:bCs/>
          <w:color w:val="1E2DBE"/>
          <w:sz w:val="32"/>
          <w:szCs w:val="32"/>
          <w:lang w:val="en-US" w:bidi="th-TH"/>
        </w:rPr>
        <w:t xml:space="preserve"> performance and </w:t>
      </w:r>
      <w:r w:rsidR="00B40F7E">
        <w:rPr>
          <w:rFonts w:ascii="Overpass" w:eastAsia="Calibri" w:hAnsi="Overpass" w:cs="Cordia New"/>
          <w:b/>
          <w:bCs/>
          <w:color w:val="1E2DBE"/>
          <w:sz w:val="32"/>
          <w:szCs w:val="32"/>
          <w:lang w:val="en-US" w:bidi="th-TH"/>
        </w:rPr>
        <w:t>integration of marginalized groups</w:t>
      </w:r>
      <w:r w:rsidR="00C45AAE">
        <w:rPr>
          <w:rFonts w:ascii="Overpass" w:eastAsia="Calibri" w:hAnsi="Overpass" w:cs="Cordia New"/>
          <w:b/>
          <w:bCs/>
          <w:color w:val="1E2DBE"/>
          <w:sz w:val="32"/>
          <w:szCs w:val="32"/>
          <w:lang w:val="en-US" w:bidi="th-TH"/>
        </w:rPr>
        <w:t xml:space="preserve"> in</w:t>
      </w:r>
      <w:r w:rsidR="00C35DA3">
        <w:rPr>
          <w:rFonts w:ascii="Overpass" w:eastAsia="Calibri" w:hAnsi="Overpass" w:cs="Cordia New"/>
          <w:b/>
          <w:bCs/>
          <w:color w:val="1E2DBE"/>
          <w:sz w:val="32"/>
          <w:szCs w:val="32"/>
          <w:lang w:val="en-US" w:bidi="th-TH"/>
        </w:rPr>
        <w:t xml:space="preserve"> Northern</w:t>
      </w:r>
      <w:r w:rsidR="00C45AAE">
        <w:rPr>
          <w:rFonts w:ascii="Overpass" w:eastAsia="Calibri" w:hAnsi="Overpass" w:cs="Cordia New"/>
          <w:b/>
          <w:bCs/>
          <w:color w:val="1E2DBE"/>
          <w:sz w:val="32"/>
          <w:szCs w:val="32"/>
          <w:lang w:val="en-US" w:bidi="th-TH"/>
        </w:rPr>
        <w:t xml:space="preserve"> Iraq</w:t>
      </w:r>
    </w:p>
    <w:p w14:paraId="6D222AA0" w14:textId="40FDBFFB" w:rsidR="00835C44" w:rsidRDefault="00032744" w:rsidP="00826907">
      <w:pPr>
        <w:pBdr>
          <w:bottom w:val="single" w:sz="18" w:space="1" w:color="1E2DBE"/>
        </w:pBdr>
        <w:autoSpaceDE w:val="0"/>
        <w:autoSpaceDN w:val="0"/>
        <w:adjustRightInd w:val="0"/>
        <w:spacing w:before="0" w:after="0" w:line="240" w:lineRule="auto"/>
        <w:rPr>
          <w:rFonts w:ascii="Overpass" w:eastAsia="Calibri" w:hAnsi="Overpass"/>
          <w:color w:val="FF0000"/>
          <w:sz w:val="22"/>
          <w:szCs w:val="22"/>
          <w:lang w:val="en-US"/>
        </w:rPr>
      </w:pPr>
      <w:r w:rsidRPr="00032744">
        <w:rPr>
          <w:rFonts w:ascii="Overpass" w:eastAsia="Calibri" w:hAnsi="Overpass"/>
          <w:color w:val="FF0000"/>
          <w:sz w:val="22"/>
          <w:szCs w:val="22"/>
          <w:lang w:val="en-US"/>
        </w:rPr>
        <w:t>Promoting Employment and Employability among Refugees, Internally Displaced Persons and Host Communities focusing on Women, P</w:t>
      </w:r>
      <w:r w:rsidR="00162317">
        <w:rPr>
          <w:rFonts w:ascii="Overpass" w:eastAsia="Calibri" w:hAnsi="Overpass"/>
          <w:color w:val="FF0000"/>
          <w:sz w:val="22"/>
          <w:szCs w:val="22"/>
          <w:lang w:val="en-US"/>
        </w:rPr>
        <w:t>ersons living with disabilities</w:t>
      </w:r>
      <w:r w:rsidRPr="00032744">
        <w:rPr>
          <w:rFonts w:ascii="Overpass" w:eastAsia="Calibri" w:hAnsi="Overpass"/>
          <w:color w:val="FF0000"/>
          <w:sz w:val="22"/>
          <w:szCs w:val="22"/>
          <w:lang w:val="en-US"/>
        </w:rPr>
        <w:t>, and Youths in Northern Iraq</w:t>
      </w:r>
      <w:r>
        <w:rPr>
          <w:rFonts w:ascii="Overpass" w:eastAsia="Calibri" w:hAnsi="Overpass"/>
          <w:color w:val="FF0000"/>
          <w:sz w:val="22"/>
          <w:szCs w:val="22"/>
          <w:lang w:val="en-US"/>
        </w:rPr>
        <w:t xml:space="preserve"> </w:t>
      </w:r>
      <w:r w:rsidR="00D140A4">
        <w:rPr>
          <w:rFonts w:ascii="Overpass" w:eastAsia="Calibri" w:hAnsi="Overpass"/>
          <w:color w:val="FF0000"/>
          <w:sz w:val="22"/>
          <w:szCs w:val="22"/>
          <w:lang w:val="en-US"/>
        </w:rPr>
        <w:t>Project</w:t>
      </w:r>
      <w:r w:rsidR="007D30CD">
        <w:rPr>
          <w:rFonts w:ascii="Overpass" w:eastAsia="Calibri" w:hAnsi="Overpass"/>
          <w:color w:val="FF0000"/>
          <w:sz w:val="22"/>
          <w:szCs w:val="22"/>
          <w:lang w:val="en-US"/>
        </w:rPr>
        <w:t xml:space="preserve"> </w:t>
      </w:r>
    </w:p>
    <w:p w14:paraId="7A28328B" w14:textId="77777777" w:rsidR="00DB4F7E" w:rsidRDefault="00DB4F7E" w:rsidP="00826907">
      <w:pPr>
        <w:pBdr>
          <w:bottom w:val="single" w:sz="18" w:space="1" w:color="1E2DBE"/>
        </w:pBdr>
        <w:autoSpaceDE w:val="0"/>
        <w:autoSpaceDN w:val="0"/>
        <w:adjustRightInd w:val="0"/>
        <w:spacing w:before="0" w:after="0" w:line="240" w:lineRule="auto"/>
        <w:rPr>
          <w:rFonts w:ascii="Overpass" w:eastAsia="Calibri" w:hAnsi="Overpass"/>
          <w:color w:val="FF0000"/>
          <w:sz w:val="22"/>
          <w:szCs w:val="22"/>
          <w:lang w:val="en-US"/>
        </w:rPr>
      </w:pPr>
    </w:p>
    <w:p w14:paraId="08CA9F8D" w14:textId="56C9BB2E" w:rsidR="00826907" w:rsidRDefault="00032744" w:rsidP="00826907">
      <w:pPr>
        <w:pBdr>
          <w:bottom w:val="single" w:sz="18" w:space="1" w:color="1E2DBE"/>
        </w:pBdr>
        <w:autoSpaceDE w:val="0"/>
        <w:autoSpaceDN w:val="0"/>
        <w:adjustRightInd w:val="0"/>
        <w:spacing w:before="0" w:after="0" w:line="240" w:lineRule="auto"/>
        <w:rPr>
          <w:rFonts w:ascii="Overpass" w:eastAsia="Calibri" w:hAnsi="Overpass"/>
          <w:color w:val="FF0000"/>
          <w:sz w:val="22"/>
          <w:szCs w:val="22"/>
          <w:lang w:val="en-US"/>
        </w:rPr>
      </w:pPr>
      <w:r w:rsidRPr="00032744">
        <w:rPr>
          <w:rFonts w:ascii="Overpass" w:eastAsia="Calibri" w:hAnsi="Overpass"/>
          <w:color w:val="FF0000"/>
          <w:sz w:val="22"/>
          <w:szCs w:val="22"/>
          <w:lang w:val="en-US"/>
        </w:rPr>
        <w:t>IRQ/24/02/DEU</w:t>
      </w:r>
    </w:p>
    <w:p w14:paraId="391002C2" w14:textId="77777777" w:rsidR="00E76C83" w:rsidRPr="003432F4" w:rsidRDefault="00E76C83" w:rsidP="00826907">
      <w:pPr>
        <w:pBdr>
          <w:bottom w:val="single" w:sz="18" w:space="1" w:color="1E2DBE"/>
        </w:pBdr>
        <w:autoSpaceDE w:val="0"/>
        <w:autoSpaceDN w:val="0"/>
        <w:adjustRightInd w:val="0"/>
        <w:spacing w:before="0" w:after="0" w:line="240" w:lineRule="auto"/>
        <w:rPr>
          <w:rFonts w:ascii="Overpass" w:eastAsia="Calibri" w:hAnsi="Overpass"/>
          <w:color w:val="FF0000"/>
          <w:sz w:val="22"/>
          <w:szCs w:val="22"/>
          <w:lang w:val="en-US"/>
        </w:rPr>
      </w:pPr>
    </w:p>
    <w:p w14:paraId="13451B63" w14:textId="77777777" w:rsidR="00826907" w:rsidRPr="003432F4" w:rsidRDefault="00826907" w:rsidP="00826907">
      <w:pPr>
        <w:pBdr>
          <w:bottom w:val="single" w:sz="18" w:space="1" w:color="1E2DBE"/>
        </w:pBdr>
        <w:autoSpaceDE w:val="0"/>
        <w:autoSpaceDN w:val="0"/>
        <w:adjustRightInd w:val="0"/>
        <w:spacing w:before="0" w:after="0" w:line="240" w:lineRule="auto"/>
        <w:rPr>
          <w:rFonts w:ascii="Overpass" w:eastAsia="Calibri" w:hAnsi="Overpass"/>
          <w:b/>
          <w:bCs/>
          <w:color w:val="1E2DBE"/>
          <w:sz w:val="32"/>
          <w:szCs w:val="32"/>
          <w:lang w:val="en-US"/>
        </w:rPr>
      </w:pPr>
    </w:p>
    <w:p w14:paraId="1C9FFECE" w14:textId="3C653F95" w:rsidR="00826907" w:rsidRPr="003432F4" w:rsidRDefault="00826907" w:rsidP="00826907">
      <w:pPr>
        <w:pBdr>
          <w:bottom w:val="single" w:sz="18" w:space="1" w:color="1E2DBE"/>
        </w:pBdr>
        <w:autoSpaceDE w:val="0"/>
        <w:autoSpaceDN w:val="0"/>
        <w:adjustRightInd w:val="0"/>
        <w:spacing w:before="0" w:after="0" w:line="240" w:lineRule="auto"/>
        <w:rPr>
          <w:rFonts w:ascii="Overpass" w:eastAsia="Calibri" w:hAnsi="Overpass"/>
          <w:b/>
          <w:bCs/>
          <w:color w:val="1E2DBE"/>
          <w:sz w:val="32"/>
          <w:szCs w:val="32"/>
          <w:lang w:val="en-US"/>
        </w:rPr>
      </w:pPr>
      <w:r w:rsidRPr="003432F4">
        <w:rPr>
          <w:rFonts w:ascii="Overpass" w:eastAsia="Calibri" w:hAnsi="Overpass"/>
          <w:b/>
          <w:bCs/>
          <w:color w:val="1E2DBE"/>
          <w:sz w:val="32"/>
          <w:szCs w:val="32"/>
          <w:lang w:val="en-US"/>
        </w:rPr>
        <w:t>Terms of Reference</w:t>
      </w:r>
    </w:p>
    <w:p w14:paraId="49EB61D0" w14:textId="77777777" w:rsidR="00826907" w:rsidRPr="003432F4" w:rsidRDefault="00826907" w:rsidP="00826907">
      <w:pPr>
        <w:pBdr>
          <w:bottom w:val="single" w:sz="18" w:space="1" w:color="1E2DBE"/>
        </w:pBdr>
        <w:autoSpaceDE w:val="0"/>
        <w:autoSpaceDN w:val="0"/>
        <w:adjustRightInd w:val="0"/>
        <w:spacing w:before="0" w:after="0" w:line="240" w:lineRule="auto"/>
        <w:rPr>
          <w:rFonts w:ascii="Overpass" w:eastAsia="Calibri" w:hAnsi="Overpass"/>
          <w:color w:val="1E2DBE"/>
          <w:lang w:val="en-US"/>
        </w:rPr>
      </w:pPr>
    </w:p>
    <w:p w14:paraId="545CDD1C" w14:textId="402DDEE5" w:rsidR="00D7211F" w:rsidRPr="003432F4" w:rsidRDefault="00EB4F93" w:rsidP="00D7211F">
      <w:pPr>
        <w:pStyle w:val="Headinglevel1"/>
        <w:pageBreakBefore w:val="0"/>
        <w:pBdr>
          <w:bottom w:val="none" w:sz="0" w:space="0" w:color="auto"/>
        </w:pBdr>
        <w:spacing w:before="240" w:after="120"/>
        <w:ind w:left="346" w:hanging="346"/>
        <w:rPr>
          <w:lang w:val="en-US"/>
        </w:rPr>
      </w:pPr>
      <w:r>
        <w:rPr>
          <w:lang w:val="en-US"/>
        </w:rPr>
        <w:t>Background</w:t>
      </w:r>
    </w:p>
    <w:p w14:paraId="5C7DCD61" w14:textId="382B73D6" w:rsidR="00D802AD" w:rsidRPr="001F3F6B" w:rsidRDefault="00D802AD" w:rsidP="00D802AD">
      <w:pPr>
        <w:spacing w:after="240"/>
        <w:jc w:val="both"/>
        <w:rPr>
          <w:sz w:val="20"/>
          <w:szCs w:val="20"/>
        </w:rPr>
      </w:pPr>
      <w:r w:rsidRPr="001F3F6B">
        <w:rPr>
          <w:sz w:val="20"/>
          <w:szCs w:val="20"/>
        </w:rPr>
        <w:t>Despite Iraq's youthful demographic profile, wherein nearly 50 percent of the population is under 19 years old and 20 percent falls between 15 and 24 years, there exists a noteworthy scarcity of opportunities for channelling this population into productive learning, employment, and enterprise avenues. This poses a significant challenge to their reintegration into a fragile, post-conflict economy. According to the 2021 ILO Iraq Labour Force Survey, the overall unemployment rate was recorded at 16.5 per cent, with youth unemployment alarmingly high at 35.8 per cent. Around 36.7 per cent of the youth population is not in education, nor in employment or training (NEET). Young females are notably more affected, with a NEET rate of 52.3 per cent, compared to their male counterparts at 22.1 per cent.</w:t>
      </w:r>
      <w:r w:rsidRPr="001F3F6B">
        <w:rPr>
          <w:sz w:val="20"/>
          <w:szCs w:val="20"/>
          <w:vertAlign w:val="superscript"/>
        </w:rPr>
        <w:footnoteReference w:id="1"/>
      </w:r>
    </w:p>
    <w:p w14:paraId="613CDC13" w14:textId="77777777" w:rsidR="00D802AD" w:rsidRPr="001F3F6B" w:rsidRDefault="00D802AD" w:rsidP="00D802AD">
      <w:pPr>
        <w:spacing w:after="240"/>
        <w:jc w:val="both"/>
        <w:rPr>
          <w:sz w:val="20"/>
          <w:szCs w:val="20"/>
        </w:rPr>
      </w:pPr>
      <w:r w:rsidRPr="001F3F6B">
        <w:rPr>
          <w:sz w:val="20"/>
          <w:szCs w:val="20"/>
        </w:rPr>
        <w:t>The governorates of Duhok, Ninawa, Erbil and Sulaymaniyah in Iraq are grappling with a critical issue: escalating youth unemployment that necessitates immediate attention. Characterized by a demographic comprising vulnerable young individuals aged between 18 and 35 years, these regions are struggling to provide sufficient employment opportunities for their burgeoning youth population. The repercussions of heightened youth unemployment extend beyond economic concerns, adversely impacting social dynamics and community well-being. Recognizing the urgency of this matter, initiatives have been launched to address root causes and implement effective solutions, emphasizing career counselling, skill development, and job placement programs. This comprehensive approach aims to empower the youth, enabling them to make meaningful contributions to their communities, break free from the cycle of unemployment, and pave the way for sustainable economic growth.</w:t>
      </w:r>
    </w:p>
    <w:p w14:paraId="3658F945" w14:textId="54040200" w:rsidR="009F3E57" w:rsidRPr="001F3F6B" w:rsidRDefault="00D802AD" w:rsidP="009F3E57">
      <w:pPr>
        <w:spacing w:after="240"/>
        <w:jc w:val="both"/>
        <w:rPr>
          <w:sz w:val="20"/>
          <w:szCs w:val="20"/>
        </w:rPr>
      </w:pPr>
      <w:r w:rsidRPr="001F3F6B">
        <w:rPr>
          <w:sz w:val="20"/>
          <w:szCs w:val="20"/>
        </w:rPr>
        <w:t xml:space="preserve">Iraq is in a “demographic window of opportunity” with a very large young population and a working age population growing at a higher rate than the overall population but is currently unable to catalyse on </w:t>
      </w:r>
      <w:r w:rsidRPr="001F3F6B">
        <w:rPr>
          <w:sz w:val="20"/>
          <w:szCs w:val="20"/>
        </w:rPr>
        <w:lastRenderedPageBreak/>
        <w:t>this opportunity as job creation is not keeping up with the growing size of the workforce</w:t>
      </w:r>
      <w:r w:rsidRPr="001F3F6B">
        <w:rPr>
          <w:rStyle w:val="FootnoteReference"/>
          <w:sz w:val="20"/>
          <w:szCs w:val="20"/>
        </w:rPr>
        <w:footnoteReference w:id="2"/>
      </w:r>
      <w:r w:rsidRPr="001F3F6B">
        <w:rPr>
          <w:sz w:val="20"/>
          <w:szCs w:val="20"/>
        </w:rPr>
        <w:t>. The situation is considered as a “jobs crisis of unprecedented proportions”</w:t>
      </w:r>
      <w:r w:rsidRPr="001F3F6B">
        <w:rPr>
          <w:rStyle w:val="FootnoteReference"/>
          <w:sz w:val="20"/>
          <w:szCs w:val="20"/>
        </w:rPr>
        <w:footnoteReference w:id="3"/>
      </w:r>
      <w:r w:rsidR="009F3E57" w:rsidRPr="001F3F6B">
        <w:t xml:space="preserve"> </w:t>
      </w:r>
      <w:r w:rsidR="009F3E57" w:rsidRPr="001F3F6B">
        <w:rPr>
          <w:sz w:val="20"/>
          <w:szCs w:val="20"/>
        </w:rPr>
        <w:t xml:space="preserve">Young people suffer disproportionately from recent conflicts and poor economic conditions, presented by: Low chances of access to jobs; where only some 26.5 per cent of youth aged 15 to 24 are in the labour force compared to 45.8 per cent for adults (25+ years old) due to the fact that a higher proportion of young people are studying. Alarming high rates of youth unemployment at 35.8 per cent which is more than three times than that of the adult (25+ years old) unemployment rate which stands at (11.2 per cent). This confirms that a large percentage of the unemployed are new entrants to the labour market. </w:t>
      </w:r>
    </w:p>
    <w:p w14:paraId="0E5F8D42" w14:textId="77777777" w:rsidR="009F3E57" w:rsidRPr="001F3F6B" w:rsidRDefault="009F3E57" w:rsidP="009F3E57">
      <w:pPr>
        <w:spacing w:after="240"/>
        <w:jc w:val="both"/>
        <w:rPr>
          <w:sz w:val="20"/>
          <w:szCs w:val="20"/>
        </w:rPr>
      </w:pPr>
      <w:r w:rsidRPr="001F3F6B">
        <w:rPr>
          <w:sz w:val="20"/>
          <w:szCs w:val="20"/>
        </w:rPr>
        <w:t>Again, youth are more affected by labour underutilization than adults (53.3 per cent versus 24.0 per cent respectively). Youth are also more vulnerable to informality (94.4 per cent of young men and 73 per cent of young women work informally), as job opportunities available for youth are also more likely to be in the informal sector than the formal sector.</w:t>
      </w:r>
    </w:p>
    <w:p w14:paraId="76D3BCEF" w14:textId="14016FD2" w:rsidR="00D802AD" w:rsidRPr="001F3F6B" w:rsidRDefault="009F3E57" w:rsidP="009F3E57">
      <w:pPr>
        <w:spacing w:after="240"/>
        <w:jc w:val="both"/>
        <w:rPr>
          <w:sz w:val="20"/>
          <w:szCs w:val="20"/>
        </w:rPr>
      </w:pPr>
      <w:r w:rsidRPr="001F3F6B">
        <w:rPr>
          <w:sz w:val="20"/>
          <w:szCs w:val="20"/>
        </w:rPr>
        <w:t xml:space="preserve">On the other hand, Female Labour Force Participation (FLFP) rate in Iraq is one of the lowest in the world at 10.6 per cent of the women aged 15 years and above, compared to 68 per cent of men in the same age group, and the labour force participation rate does not exceed 17 per cent among any age group of women, making Iraq rank at 155 out of 156 countries in the labour force participation gender gap. There are also differences between women living in urban or rural areas. FLFP in rural areas account for 8.1 per cent, while for urban areas it makes up 11.6 per cent. The gender parity ratio indicates that a doubled share of women in the labour force </w:t>
      </w:r>
      <w:r w:rsidR="000B6010" w:rsidRPr="001F3F6B">
        <w:rPr>
          <w:sz w:val="20"/>
          <w:szCs w:val="20"/>
        </w:rPr>
        <w:t>is</w:t>
      </w:r>
      <w:r w:rsidRPr="001F3F6B">
        <w:rPr>
          <w:sz w:val="20"/>
          <w:szCs w:val="20"/>
        </w:rPr>
        <w:t xml:space="preserve"> unemployed compared to their male counterparts, where on average 28.2 per cent of women in the labour force are unemployed compared to 14.7 per cent of men. Young women in particular face particularly high levels of unemployment, reaching as high as 65 per cent among young women aged 20-24 years, compared to 30 per cent among men in the same age group. While for men unemployment rates fall with educational level until university level, for women, unemployment is lowest among those who are unable to read and write, and among those with secondary educational attainment. A larger share of women with higher levels of educational attainment are in the labour market compared to those with lower levels of educational attainment, though their areas of participation are limited. Moreover, a larger share of women is in long-term unemployment compared to men, defined as being unemployed for six months or more with a median duration of search for employment about twice than that for men (13.4 months versus 6 months respectively). In general, Labour underutilization affected women stands to be 49.5 per cent much more than men, 27.3 per cent.</w:t>
      </w:r>
    </w:p>
    <w:p w14:paraId="3B42BE7A" w14:textId="77777777" w:rsidR="003C424E" w:rsidRPr="001F3F6B" w:rsidRDefault="003C424E" w:rsidP="003C424E">
      <w:pPr>
        <w:spacing w:after="240"/>
        <w:jc w:val="both"/>
        <w:rPr>
          <w:sz w:val="20"/>
          <w:szCs w:val="20"/>
        </w:rPr>
      </w:pPr>
      <w:r w:rsidRPr="001F3F6B">
        <w:rPr>
          <w:sz w:val="20"/>
          <w:szCs w:val="20"/>
        </w:rPr>
        <w:t xml:space="preserve">Although IDPs and returnees have equal access to the labour market as other non-displaced citizens, they often face additional barriers such as: </w:t>
      </w:r>
    </w:p>
    <w:p w14:paraId="0A92234B" w14:textId="0242B1CC" w:rsidR="003C424E" w:rsidRPr="001F3F6B" w:rsidRDefault="003C424E" w:rsidP="00696B25">
      <w:pPr>
        <w:pStyle w:val="ListParagraph"/>
        <w:numPr>
          <w:ilvl w:val="0"/>
          <w:numId w:val="43"/>
        </w:numPr>
        <w:spacing w:after="240"/>
        <w:jc w:val="both"/>
        <w:rPr>
          <w:sz w:val="20"/>
          <w:szCs w:val="20"/>
        </w:rPr>
      </w:pPr>
      <w:r w:rsidRPr="001F3F6B">
        <w:rPr>
          <w:sz w:val="20"/>
          <w:szCs w:val="20"/>
        </w:rPr>
        <w:t xml:space="preserve">High unemployment rates, though reliable data on IDPs employment is difficult to obtain, but World Bank data suggests that 27 per cent of IDPs were unemployed in 2018. And according to a recent IOM study in 2020, Yazidi IDPs were unemployed the most at (49.6 per cent) compared with only 24 per cent among Christian, Shabak Shi’a and Turkmen Shi’a IDPs. </w:t>
      </w:r>
    </w:p>
    <w:p w14:paraId="4FC28470" w14:textId="77777777" w:rsidR="0084655F" w:rsidRPr="001F3F6B" w:rsidRDefault="003C424E" w:rsidP="00696B25">
      <w:pPr>
        <w:pStyle w:val="ListParagraph"/>
        <w:numPr>
          <w:ilvl w:val="0"/>
          <w:numId w:val="43"/>
        </w:numPr>
        <w:spacing w:after="240"/>
        <w:jc w:val="both"/>
        <w:rPr>
          <w:sz w:val="20"/>
          <w:szCs w:val="20"/>
        </w:rPr>
      </w:pPr>
      <w:r w:rsidRPr="001F3F6B">
        <w:rPr>
          <w:sz w:val="20"/>
          <w:szCs w:val="20"/>
        </w:rPr>
        <w:lastRenderedPageBreak/>
        <w:t>Difficulty in finding jobs that would enable them to cover their basic costs of living, and those living outside camps may find it difficult to compete with those in camps where living costs are lower, allowing them to accept lower wages.</w:t>
      </w:r>
    </w:p>
    <w:p w14:paraId="7EB5E5F5" w14:textId="77777777" w:rsidR="0084655F" w:rsidRPr="001F3F6B" w:rsidRDefault="003C424E" w:rsidP="00696B25">
      <w:pPr>
        <w:pStyle w:val="ListParagraph"/>
        <w:numPr>
          <w:ilvl w:val="0"/>
          <w:numId w:val="43"/>
        </w:numPr>
        <w:spacing w:after="240"/>
        <w:jc w:val="both"/>
        <w:rPr>
          <w:sz w:val="20"/>
          <w:szCs w:val="20"/>
        </w:rPr>
      </w:pPr>
      <w:r w:rsidRPr="001F3F6B">
        <w:rPr>
          <w:sz w:val="20"/>
          <w:szCs w:val="20"/>
        </w:rPr>
        <w:t>Being typically unskilled labour and affected by sectoral and seasonal demand cycles based on receiving their primary income from daily wage labour, often in the construction and agriculture sectors for men, and in retail for women. For example, nearly 50 per cent of IDPs living outside camps and around 40 per cent of those settled in camps rely on daily labour (this compares to 20 per cent among the non-displaced population in the KRI).</w:t>
      </w:r>
    </w:p>
    <w:p w14:paraId="69D2AF38" w14:textId="51DF4DBB" w:rsidR="003C424E" w:rsidRPr="001F3F6B" w:rsidRDefault="003C424E" w:rsidP="00696B25">
      <w:pPr>
        <w:pStyle w:val="ListParagraph"/>
        <w:numPr>
          <w:ilvl w:val="0"/>
          <w:numId w:val="43"/>
        </w:numPr>
        <w:spacing w:after="240"/>
        <w:jc w:val="both"/>
        <w:rPr>
          <w:sz w:val="20"/>
          <w:szCs w:val="20"/>
        </w:rPr>
      </w:pPr>
      <w:r w:rsidRPr="001F3F6B">
        <w:rPr>
          <w:sz w:val="20"/>
          <w:szCs w:val="20"/>
        </w:rPr>
        <w:t>lack of civil documentation that leads to exploitation by employers who assume that their vulnerability will make them willing to work for less money and in poor conditions. As a result, IDPs are commonly employed in the informal economy with few protections.</w:t>
      </w:r>
    </w:p>
    <w:p w14:paraId="5172B8AD" w14:textId="5298E82F" w:rsidR="003C424E" w:rsidRPr="001F3F6B" w:rsidRDefault="003C424E" w:rsidP="003C424E">
      <w:pPr>
        <w:spacing w:after="240"/>
        <w:jc w:val="both"/>
        <w:rPr>
          <w:sz w:val="20"/>
          <w:szCs w:val="20"/>
        </w:rPr>
      </w:pPr>
      <w:r w:rsidRPr="001F3F6B">
        <w:rPr>
          <w:sz w:val="20"/>
          <w:szCs w:val="20"/>
        </w:rPr>
        <w:t>Refugees in Iraq face heightened challenges in accessing employment. A study in 2021 found that among Syrian refugees, only 2 per cent of Syrian refugee women in Erbil and 3 per cent in Dohuk were working outside the home, compared with 83 per cent and 78 per cent of Syrian refugee men, respectively.</w:t>
      </w:r>
    </w:p>
    <w:p w14:paraId="55080A4E" w14:textId="39C7198C" w:rsidR="00444A8B" w:rsidRPr="001F3F6B" w:rsidRDefault="00444A8B" w:rsidP="00444A8B">
      <w:pPr>
        <w:pStyle w:val="NormalBody"/>
        <w:rPr>
          <w:sz w:val="20"/>
          <w:szCs w:val="20"/>
          <w:lang w:val="en-US"/>
        </w:rPr>
      </w:pPr>
      <w:r w:rsidRPr="001F3F6B">
        <w:rPr>
          <w:sz w:val="20"/>
          <w:szCs w:val="20"/>
          <w:lang w:val="en-US"/>
        </w:rPr>
        <w:t xml:space="preserve">As of January 2023, UNHCR surveyed 162,899 registered refugees and asylum seekers </w:t>
      </w:r>
      <w:r w:rsidR="00090DB9" w:rsidRPr="001F3F6B">
        <w:rPr>
          <w:sz w:val="20"/>
          <w:szCs w:val="20"/>
          <w:lang w:val="en-US"/>
        </w:rPr>
        <w:t>in Iraq</w:t>
      </w:r>
      <w:r w:rsidR="00C90517" w:rsidRPr="001F3F6B">
        <w:rPr>
          <w:sz w:val="20"/>
          <w:szCs w:val="20"/>
          <w:lang w:val="en-US"/>
        </w:rPr>
        <w:t xml:space="preserve"> and found out that </w:t>
      </w:r>
      <w:r w:rsidRPr="001F3F6B">
        <w:rPr>
          <w:sz w:val="20"/>
          <w:szCs w:val="20"/>
          <w:lang w:val="en-US"/>
        </w:rPr>
        <w:t xml:space="preserve">33 per cent </w:t>
      </w:r>
      <w:r w:rsidR="00E06CC0" w:rsidRPr="001F3F6B">
        <w:rPr>
          <w:sz w:val="20"/>
          <w:szCs w:val="20"/>
          <w:lang w:val="en-US"/>
        </w:rPr>
        <w:t xml:space="preserve">had no </w:t>
      </w:r>
      <w:r w:rsidRPr="001F3F6B">
        <w:rPr>
          <w:sz w:val="20"/>
          <w:szCs w:val="20"/>
          <w:lang w:val="en-US"/>
        </w:rPr>
        <w:t xml:space="preserve">employment record. </w:t>
      </w:r>
      <w:r w:rsidR="00E06CC0" w:rsidRPr="001F3F6B">
        <w:rPr>
          <w:sz w:val="20"/>
          <w:szCs w:val="20"/>
          <w:lang w:val="en-US"/>
        </w:rPr>
        <w:t>It emerged that r</w:t>
      </w:r>
      <w:r w:rsidRPr="001F3F6B">
        <w:rPr>
          <w:sz w:val="20"/>
          <w:szCs w:val="20"/>
          <w:lang w:val="en-US"/>
        </w:rPr>
        <w:t>efugees are discriminated against in the areas of employment, and the legal ambiguity on their right to work generally restricts employment to low paying jobs in the informal sector. I</w:t>
      </w:r>
      <w:r w:rsidR="005D00FA" w:rsidRPr="001F3F6B">
        <w:rPr>
          <w:sz w:val="20"/>
          <w:szCs w:val="20"/>
          <w:lang w:val="en-US"/>
        </w:rPr>
        <w:t>nternally displaced persons (I</w:t>
      </w:r>
      <w:r w:rsidRPr="001F3F6B">
        <w:rPr>
          <w:sz w:val="20"/>
          <w:szCs w:val="20"/>
          <w:lang w:val="en-US"/>
        </w:rPr>
        <w:t>DPs</w:t>
      </w:r>
      <w:r w:rsidR="005D00FA" w:rsidRPr="001F3F6B">
        <w:rPr>
          <w:sz w:val="20"/>
          <w:szCs w:val="20"/>
          <w:lang w:val="en-US"/>
        </w:rPr>
        <w:t>)</w:t>
      </w:r>
      <w:r w:rsidR="00E6271F" w:rsidRPr="001F3F6B">
        <w:rPr>
          <w:sz w:val="20"/>
          <w:szCs w:val="20"/>
          <w:lang w:val="en-US"/>
        </w:rPr>
        <w:t xml:space="preserve"> and</w:t>
      </w:r>
      <w:r w:rsidRPr="001F3F6B">
        <w:rPr>
          <w:sz w:val="20"/>
          <w:szCs w:val="20"/>
          <w:lang w:val="en-US"/>
        </w:rPr>
        <w:t xml:space="preserve"> refugees are typically unskilled labour and affected by sectoral and seasonal demand cycles based on receiving their primary income from daily wage labour, often in the construction and agriculture sectors for men, and in retail for women.</w:t>
      </w:r>
    </w:p>
    <w:p w14:paraId="750DFB1A" w14:textId="4209FE9D" w:rsidR="00F771A3" w:rsidRPr="001F3F6B" w:rsidRDefault="00F2498E" w:rsidP="00444A8B">
      <w:pPr>
        <w:pStyle w:val="NormalBody"/>
        <w:rPr>
          <w:color w:val="FF0000"/>
          <w:sz w:val="20"/>
          <w:szCs w:val="20"/>
          <w:lang w:val="en-US"/>
        </w:rPr>
      </w:pPr>
      <w:r w:rsidRPr="001F3F6B">
        <w:rPr>
          <w:sz w:val="20"/>
          <w:szCs w:val="20"/>
          <w:lang w:val="en-US"/>
        </w:rPr>
        <w:t>Additionally,</w:t>
      </w:r>
      <w:r w:rsidR="00D42B4D" w:rsidRPr="001F3F6B">
        <w:rPr>
          <w:sz w:val="20"/>
          <w:szCs w:val="20"/>
          <w:lang w:val="en-US"/>
        </w:rPr>
        <w:t xml:space="preserve"> Iraq is not party to the Refugee Convention, that it has a Political Refugee Law (Law No. 51 of 1971) with a narrow definition of refugees. Moreover, Law No. 21 enacted in 2009, established the Ministry of Migration and Displacement and mandated the provision of necessary services to refugees, internally displaced persons (IDPs), and returnees. Finally, the Labour Law No. 38 of 2015 has a few provisions on anti-discrimination and inclusivity that do exist de jure.</w:t>
      </w:r>
      <w:r w:rsidR="006307CE">
        <w:rPr>
          <w:sz w:val="20"/>
          <w:szCs w:val="20"/>
          <w:lang w:val="en-US"/>
        </w:rPr>
        <w:t xml:space="preserve"> </w:t>
      </w:r>
      <w:r w:rsidR="00ED174A" w:rsidRPr="001F3F6B">
        <w:rPr>
          <w:sz w:val="20"/>
          <w:szCs w:val="20"/>
          <w:lang w:val="en-US"/>
        </w:rPr>
        <w:t>The</w:t>
      </w:r>
      <w:r w:rsidR="00444A8B" w:rsidRPr="001F3F6B">
        <w:rPr>
          <w:sz w:val="20"/>
          <w:szCs w:val="20"/>
          <w:lang w:val="en-US"/>
        </w:rPr>
        <w:t xml:space="preserve"> absence of a comprehensive legal framework </w:t>
      </w:r>
      <w:r w:rsidR="00ED174A" w:rsidRPr="001F3F6B">
        <w:rPr>
          <w:sz w:val="20"/>
          <w:szCs w:val="20"/>
          <w:lang w:val="en-US"/>
        </w:rPr>
        <w:t>is</w:t>
      </w:r>
      <w:r w:rsidR="0032203F">
        <w:rPr>
          <w:sz w:val="20"/>
          <w:szCs w:val="20"/>
          <w:lang w:val="en-US"/>
        </w:rPr>
        <w:t xml:space="preserve"> the</w:t>
      </w:r>
      <w:r w:rsidR="00ED174A" w:rsidRPr="001F3F6B">
        <w:rPr>
          <w:sz w:val="20"/>
          <w:szCs w:val="20"/>
          <w:lang w:val="en-US"/>
        </w:rPr>
        <w:t xml:space="preserve"> </w:t>
      </w:r>
      <w:r w:rsidR="00444A8B" w:rsidRPr="001F3F6B">
        <w:rPr>
          <w:sz w:val="20"/>
          <w:szCs w:val="20"/>
          <w:lang w:val="en-US"/>
        </w:rPr>
        <w:t xml:space="preserve">fundamental barrier for refugees </w:t>
      </w:r>
      <w:r w:rsidR="0032203F">
        <w:rPr>
          <w:sz w:val="20"/>
          <w:szCs w:val="20"/>
          <w:lang w:val="en-US"/>
        </w:rPr>
        <w:t xml:space="preserve">in </w:t>
      </w:r>
      <w:r w:rsidR="00444A8B" w:rsidRPr="001F3F6B">
        <w:rPr>
          <w:sz w:val="20"/>
          <w:szCs w:val="20"/>
          <w:lang w:val="en-US"/>
        </w:rPr>
        <w:t xml:space="preserve">accessing the labour market. </w:t>
      </w:r>
      <w:r w:rsidR="00F62140" w:rsidRPr="001F3F6B">
        <w:rPr>
          <w:sz w:val="20"/>
          <w:szCs w:val="20"/>
          <w:lang w:val="en-US"/>
        </w:rPr>
        <w:t>Most r</w:t>
      </w:r>
      <w:r w:rsidR="00444A8B" w:rsidRPr="001F3F6B">
        <w:rPr>
          <w:sz w:val="20"/>
          <w:szCs w:val="20"/>
          <w:lang w:val="en-US"/>
        </w:rPr>
        <w:t>efugees</w:t>
      </w:r>
      <w:r w:rsidR="00F62140" w:rsidRPr="001F3F6B">
        <w:rPr>
          <w:sz w:val="20"/>
          <w:szCs w:val="20"/>
          <w:lang w:val="en-US"/>
        </w:rPr>
        <w:t xml:space="preserve"> </w:t>
      </w:r>
      <w:r w:rsidR="00444A8B" w:rsidRPr="001F3F6B">
        <w:rPr>
          <w:sz w:val="20"/>
          <w:szCs w:val="20"/>
          <w:lang w:val="en-US"/>
        </w:rPr>
        <w:t xml:space="preserve">are engaged in the informal sector where they are capable </w:t>
      </w:r>
      <w:r w:rsidR="001672A8" w:rsidRPr="001F3F6B">
        <w:rPr>
          <w:sz w:val="20"/>
          <w:szCs w:val="20"/>
          <w:lang w:val="en-US"/>
        </w:rPr>
        <w:t>of</w:t>
      </w:r>
      <w:r w:rsidR="00444A8B" w:rsidRPr="001F3F6B">
        <w:rPr>
          <w:sz w:val="20"/>
          <w:szCs w:val="20"/>
          <w:lang w:val="en-US"/>
        </w:rPr>
        <w:t xml:space="preserve"> operat</w:t>
      </w:r>
      <w:r w:rsidR="001672A8" w:rsidRPr="001F3F6B">
        <w:rPr>
          <w:sz w:val="20"/>
          <w:szCs w:val="20"/>
          <w:lang w:val="en-US"/>
        </w:rPr>
        <w:t>ing</w:t>
      </w:r>
      <w:r w:rsidR="00444A8B" w:rsidRPr="001F3F6B">
        <w:rPr>
          <w:sz w:val="20"/>
          <w:szCs w:val="20"/>
          <w:lang w:val="en-US"/>
        </w:rPr>
        <w:t xml:space="preserve"> with</w:t>
      </w:r>
      <w:r w:rsidR="0032203F">
        <w:rPr>
          <w:sz w:val="20"/>
          <w:szCs w:val="20"/>
          <w:lang w:val="en-US"/>
        </w:rPr>
        <w:t>in</w:t>
      </w:r>
      <w:r w:rsidR="00444A8B" w:rsidRPr="001F3F6B">
        <w:rPr>
          <w:sz w:val="20"/>
          <w:szCs w:val="20"/>
          <w:lang w:val="en-US"/>
        </w:rPr>
        <w:t xml:space="preserve"> </w:t>
      </w:r>
      <w:r w:rsidR="00587F39" w:rsidRPr="001F3F6B">
        <w:rPr>
          <w:sz w:val="20"/>
          <w:szCs w:val="20"/>
          <w:lang w:val="en-US"/>
        </w:rPr>
        <w:t>un</w:t>
      </w:r>
      <w:r w:rsidR="00444A8B" w:rsidRPr="001F3F6B">
        <w:rPr>
          <w:sz w:val="20"/>
          <w:szCs w:val="20"/>
          <w:lang w:val="en-US"/>
        </w:rPr>
        <w:t>register</w:t>
      </w:r>
      <w:r w:rsidR="00587F39" w:rsidRPr="001F3F6B">
        <w:rPr>
          <w:sz w:val="20"/>
          <w:szCs w:val="20"/>
          <w:lang w:val="en-US"/>
        </w:rPr>
        <w:t>ed</w:t>
      </w:r>
      <w:r w:rsidR="00444A8B" w:rsidRPr="001F3F6B">
        <w:rPr>
          <w:sz w:val="20"/>
          <w:szCs w:val="20"/>
          <w:lang w:val="en-US"/>
        </w:rPr>
        <w:t xml:space="preserve"> businesses</w:t>
      </w:r>
      <w:r w:rsidR="00293D6D">
        <w:rPr>
          <w:sz w:val="20"/>
          <w:szCs w:val="20"/>
          <w:lang w:val="en-US"/>
        </w:rPr>
        <w:t xml:space="preserve"> while</w:t>
      </w:r>
      <w:r w:rsidR="00FF46B8" w:rsidRPr="001F3F6B">
        <w:rPr>
          <w:sz w:val="20"/>
          <w:szCs w:val="20"/>
          <w:lang w:val="en-US"/>
        </w:rPr>
        <w:t xml:space="preserve"> there </w:t>
      </w:r>
      <w:r w:rsidR="00293D6D">
        <w:rPr>
          <w:sz w:val="20"/>
          <w:szCs w:val="20"/>
          <w:lang w:val="en-US"/>
        </w:rPr>
        <w:t>is</w:t>
      </w:r>
      <w:r w:rsidR="00FF46B8" w:rsidRPr="001F3F6B">
        <w:rPr>
          <w:sz w:val="20"/>
          <w:szCs w:val="20"/>
          <w:lang w:val="en-US"/>
        </w:rPr>
        <w:t xml:space="preserve"> no </w:t>
      </w:r>
      <w:r w:rsidR="00301E65" w:rsidRPr="001F3F6B">
        <w:rPr>
          <w:sz w:val="20"/>
          <w:szCs w:val="20"/>
          <w:lang w:val="en-US"/>
        </w:rPr>
        <w:t xml:space="preserve">legal </w:t>
      </w:r>
      <w:r w:rsidR="00FF46B8" w:rsidRPr="001F3F6B">
        <w:rPr>
          <w:sz w:val="20"/>
          <w:szCs w:val="20"/>
          <w:lang w:val="en-US"/>
        </w:rPr>
        <w:t>restriction</w:t>
      </w:r>
      <w:r w:rsidR="00293D6D">
        <w:rPr>
          <w:sz w:val="20"/>
          <w:szCs w:val="20"/>
          <w:lang w:val="en-US"/>
        </w:rPr>
        <w:t xml:space="preserve"> in the banking sector</w:t>
      </w:r>
      <w:r w:rsidR="003C104F" w:rsidRPr="001F3F6B">
        <w:rPr>
          <w:sz w:val="20"/>
          <w:szCs w:val="20"/>
          <w:lang w:val="en-US"/>
        </w:rPr>
        <w:t>, refugee</w:t>
      </w:r>
      <w:r w:rsidR="00293D6D">
        <w:rPr>
          <w:sz w:val="20"/>
          <w:szCs w:val="20"/>
          <w:lang w:val="en-US"/>
        </w:rPr>
        <w:t xml:space="preserve"> s operating businesses </w:t>
      </w:r>
      <w:r w:rsidR="003C104F" w:rsidRPr="001F3F6B">
        <w:rPr>
          <w:sz w:val="20"/>
          <w:szCs w:val="20"/>
          <w:lang w:val="en-US"/>
        </w:rPr>
        <w:t>still face</w:t>
      </w:r>
      <w:r w:rsidR="004C29F1" w:rsidRPr="001F3F6B">
        <w:rPr>
          <w:sz w:val="20"/>
          <w:szCs w:val="20"/>
          <w:lang w:val="en-US"/>
        </w:rPr>
        <w:t xml:space="preserve"> internal bank </w:t>
      </w:r>
      <w:r w:rsidR="008D0DC6" w:rsidRPr="001F3F6B">
        <w:rPr>
          <w:sz w:val="20"/>
          <w:szCs w:val="20"/>
          <w:lang w:val="en-US"/>
        </w:rPr>
        <w:t>obstacles in</w:t>
      </w:r>
      <w:r w:rsidR="00301E65" w:rsidRPr="001F3F6B">
        <w:rPr>
          <w:sz w:val="20"/>
          <w:szCs w:val="20"/>
          <w:lang w:val="en-US"/>
        </w:rPr>
        <w:t xml:space="preserve"> opening bank accounts</w:t>
      </w:r>
      <w:r w:rsidR="008D0DC6" w:rsidRPr="001F3F6B">
        <w:rPr>
          <w:sz w:val="20"/>
          <w:szCs w:val="20"/>
          <w:lang w:val="en-US"/>
        </w:rPr>
        <w:t xml:space="preserve"> and accessing loans and credit.</w:t>
      </w:r>
    </w:p>
    <w:p w14:paraId="295859EB" w14:textId="368B4F57" w:rsidR="00991CFA" w:rsidRPr="001F3F6B" w:rsidRDefault="00ED174A" w:rsidP="00444A8B">
      <w:pPr>
        <w:pStyle w:val="NormalBody"/>
        <w:rPr>
          <w:sz w:val="20"/>
          <w:szCs w:val="20"/>
          <w:lang w:val="en-US"/>
        </w:rPr>
      </w:pPr>
      <w:r w:rsidRPr="001F3F6B">
        <w:rPr>
          <w:sz w:val="20"/>
          <w:szCs w:val="20"/>
          <w:lang w:val="en-US"/>
        </w:rPr>
        <w:t>I</w:t>
      </w:r>
      <w:r w:rsidR="00424EB7" w:rsidRPr="001F3F6B">
        <w:rPr>
          <w:sz w:val="20"/>
          <w:szCs w:val="20"/>
          <w:lang w:val="en-US"/>
        </w:rPr>
        <w:t>raq has</w:t>
      </w:r>
      <w:r w:rsidR="00444A8B" w:rsidRPr="001F3F6B">
        <w:rPr>
          <w:sz w:val="20"/>
          <w:szCs w:val="20"/>
          <w:lang w:val="en-US"/>
        </w:rPr>
        <w:t xml:space="preserve"> a national strategy on T</w:t>
      </w:r>
      <w:r w:rsidR="00405768" w:rsidRPr="001F3F6B">
        <w:rPr>
          <w:sz w:val="20"/>
          <w:szCs w:val="20"/>
          <w:lang w:val="en-US"/>
        </w:rPr>
        <w:t xml:space="preserve">echnical </w:t>
      </w:r>
      <w:r w:rsidR="00444A8B" w:rsidRPr="001F3F6B">
        <w:rPr>
          <w:sz w:val="20"/>
          <w:szCs w:val="20"/>
          <w:lang w:val="en-US"/>
        </w:rPr>
        <w:t>V</w:t>
      </w:r>
      <w:r w:rsidR="00405768" w:rsidRPr="001F3F6B">
        <w:rPr>
          <w:sz w:val="20"/>
          <w:szCs w:val="20"/>
          <w:lang w:val="en-US"/>
        </w:rPr>
        <w:t xml:space="preserve">ocational </w:t>
      </w:r>
      <w:r w:rsidR="00444A8B" w:rsidRPr="001F3F6B">
        <w:rPr>
          <w:sz w:val="20"/>
          <w:szCs w:val="20"/>
          <w:lang w:val="en-US"/>
        </w:rPr>
        <w:t>E</w:t>
      </w:r>
      <w:r w:rsidR="00405768" w:rsidRPr="001F3F6B">
        <w:rPr>
          <w:sz w:val="20"/>
          <w:szCs w:val="20"/>
          <w:lang w:val="en-US"/>
        </w:rPr>
        <w:t xml:space="preserve">ducation </w:t>
      </w:r>
      <w:r w:rsidR="00444A8B" w:rsidRPr="001F3F6B">
        <w:rPr>
          <w:sz w:val="20"/>
          <w:szCs w:val="20"/>
          <w:lang w:val="en-US"/>
        </w:rPr>
        <w:t>T</w:t>
      </w:r>
      <w:r w:rsidR="00405768" w:rsidRPr="001F3F6B">
        <w:rPr>
          <w:sz w:val="20"/>
          <w:szCs w:val="20"/>
          <w:lang w:val="en-US"/>
        </w:rPr>
        <w:t>raining (TVET)</w:t>
      </w:r>
      <w:r w:rsidR="00F771A3" w:rsidRPr="001F3F6B">
        <w:rPr>
          <w:sz w:val="20"/>
          <w:szCs w:val="20"/>
          <w:lang w:val="en-US"/>
        </w:rPr>
        <w:t xml:space="preserve"> but </w:t>
      </w:r>
      <w:r w:rsidR="008D64A0" w:rsidRPr="001F3F6B">
        <w:rPr>
          <w:sz w:val="20"/>
          <w:szCs w:val="20"/>
          <w:lang w:val="en-US"/>
        </w:rPr>
        <w:t xml:space="preserve">does </w:t>
      </w:r>
      <w:r w:rsidR="00444A8B" w:rsidRPr="001F3F6B">
        <w:rPr>
          <w:sz w:val="20"/>
          <w:szCs w:val="20"/>
          <w:lang w:val="en-US"/>
        </w:rPr>
        <w:t>not explicitly recognize</w:t>
      </w:r>
      <w:r w:rsidR="008D64A0" w:rsidRPr="001F3F6B">
        <w:rPr>
          <w:sz w:val="20"/>
          <w:szCs w:val="20"/>
          <w:lang w:val="en-US"/>
        </w:rPr>
        <w:t xml:space="preserve"> refugees</w:t>
      </w:r>
      <w:r w:rsidR="00444A8B" w:rsidRPr="001F3F6B">
        <w:rPr>
          <w:sz w:val="20"/>
          <w:szCs w:val="20"/>
          <w:lang w:val="en-US"/>
        </w:rPr>
        <w:t xml:space="preserve"> as a target group</w:t>
      </w:r>
      <w:r w:rsidR="003C2F2C" w:rsidRPr="001F3F6B">
        <w:rPr>
          <w:sz w:val="20"/>
          <w:szCs w:val="20"/>
          <w:lang w:val="en-US"/>
        </w:rPr>
        <w:t xml:space="preserve">. </w:t>
      </w:r>
      <w:r w:rsidR="00223878" w:rsidRPr="001F3F6B">
        <w:rPr>
          <w:sz w:val="20"/>
          <w:szCs w:val="20"/>
          <w:lang w:val="en-US"/>
        </w:rPr>
        <w:t>O</w:t>
      </w:r>
      <w:r w:rsidR="00444A8B" w:rsidRPr="001F3F6B">
        <w:rPr>
          <w:sz w:val="20"/>
          <w:szCs w:val="20"/>
          <w:lang w:val="en-US"/>
        </w:rPr>
        <w:t xml:space="preserve">pportunities are available to </w:t>
      </w:r>
      <w:r w:rsidR="00D34DBD" w:rsidRPr="001F3F6B">
        <w:rPr>
          <w:sz w:val="20"/>
          <w:szCs w:val="20"/>
          <w:lang w:val="en-US"/>
        </w:rPr>
        <w:t>refugees,</w:t>
      </w:r>
      <w:r w:rsidR="00E16E73" w:rsidRPr="001F3F6B">
        <w:rPr>
          <w:sz w:val="20"/>
          <w:szCs w:val="20"/>
          <w:lang w:val="en-US"/>
        </w:rPr>
        <w:t xml:space="preserve"> </w:t>
      </w:r>
      <w:r w:rsidR="003875F9" w:rsidRPr="001F3F6B">
        <w:rPr>
          <w:sz w:val="20"/>
          <w:szCs w:val="20"/>
          <w:lang w:val="en-US"/>
        </w:rPr>
        <w:t>but lack of funding</w:t>
      </w:r>
      <w:r w:rsidR="00F76403" w:rsidRPr="001F3F6B">
        <w:rPr>
          <w:sz w:val="20"/>
          <w:szCs w:val="20"/>
          <w:lang w:val="en-US"/>
        </w:rPr>
        <w:t xml:space="preserve"> </w:t>
      </w:r>
      <w:r w:rsidR="009E5275" w:rsidRPr="001F3F6B">
        <w:rPr>
          <w:sz w:val="20"/>
          <w:szCs w:val="20"/>
          <w:lang w:val="en-US"/>
        </w:rPr>
        <w:t xml:space="preserve">negatively impact their access. </w:t>
      </w:r>
      <w:r w:rsidR="00444A8B" w:rsidRPr="001F3F6B">
        <w:rPr>
          <w:sz w:val="20"/>
          <w:szCs w:val="20"/>
          <w:lang w:val="en-US"/>
        </w:rPr>
        <w:t xml:space="preserve"> </w:t>
      </w:r>
      <w:r w:rsidR="00C952F6">
        <w:rPr>
          <w:sz w:val="20"/>
          <w:szCs w:val="20"/>
          <w:lang w:val="en-US"/>
        </w:rPr>
        <w:t>Furthermore</w:t>
      </w:r>
      <w:r w:rsidR="00FE05C8" w:rsidRPr="001F3F6B">
        <w:rPr>
          <w:sz w:val="20"/>
          <w:szCs w:val="20"/>
          <w:lang w:val="en-US"/>
        </w:rPr>
        <w:t xml:space="preserve">, </w:t>
      </w:r>
      <w:r w:rsidR="005F354A" w:rsidRPr="001F3F6B">
        <w:rPr>
          <w:sz w:val="20"/>
          <w:szCs w:val="20"/>
          <w:lang w:val="en-US"/>
        </w:rPr>
        <w:t xml:space="preserve">there is no direct legal prohibition for refugees to </w:t>
      </w:r>
      <w:r w:rsidR="00DC002C" w:rsidRPr="001F3F6B">
        <w:rPr>
          <w:sz w:val="20"/>
          <w:szCs w:val="20"/>
          <w:lang w:val="en-US"/>
        </w:rPr>
        <w:t>enroll</w:t>
      </w:r>
      <w:r w:rsidR="001F2649" w:rsidRPr="001F3F6B">
        <w:rPr>
          <w:sz w:val="20"/>
          <w:szCs w:val="20"/>
          <w:lang w:val="en-US"/>
        </w:rPr>
        <w:t xml:space="preserve"> in social security</w:t>
      </w:r>
      <w:r w:rsidR="00DC002C" w:rsidRPr="001F3F6B">
        <w:rPr>
          <w:sz w:val="20"/>
          <w:szCs w:val="20"/>
          <w:lang w:val="en-US"/>
        </w:rPr>
        <w:t xml:space="preserve">, </w:t>
      </w:r>
      <w:r w:rsidR="00444A8B" w:rsidRPr="001F3F6B">
        <w:rPr>
          <w:sz w:val="20"/>
          <w:szCs w:val="20"/>
          <w:lang w:val="en-US"/>
        </w:rPr>
        <w:t>neither in Federal Iraq, nor in the Kurdistan Region of Iraq. Nevertheless, the issues related to work permits and limited knowledge and awareness of the in principle legal coverage restricts refugees’ participation in social security schemes.</w:t>
      </w:r>
    </w:p>
    <w:p w14:paraId="5DF63AB4" w14:textId="0990A9A8" w:rsidR="00292040" w:rsidRPr="001F3F6B" w:rsidRDefault="00E16E73" w:rsidP="00444A8B">
      <w:pPr>
        <w:pStyle w:val="NormalBody"/>
        <w:rPr>
          <w:sz w:val="20"/>
          <w:szCs w:val="20"/>
          <w:lang w:val="en-US"/>
        </w:rPr>
      </w:pPr>
      <w:r w:rsidRPr="001F3F6B">
        <w:rPr>
          <w:sz w:val="20"/>
          <w:szCs w:val="20"/>
          <w:lang w:val="en-US"/>
        </w:rPr>
        <w:t>A</w:t>
      </w:r>
      <w:r w:rsidR="00292040" w:rsidRPr="001F3F6B">
        <w:rPr>
          <w:sz w:val="20"/>
          <w:szCs w:val="20"/>
          <w:lang w:val="en-US"/>
        </w:rPr>
        <w:t xml:space="preserve">s Iraq is transitioning from emergency to stabilization and development, a move to evidence-based policy solutions </w:t>
      </w:r>
      <w:r w:rsidR="00D34DBD" w:rsidRPr="001F3F6B">
        <w:rPr>
          <w:sz w:val="20"/>
          <w:szCs w:val="20"/>
          <w:lang w:val="en-US"/>
        </w:rPr>
        <w:t xml:space="preserve">would </w:t>
      </w:r>
      <w:r w:rsidR="00292040" w:rsidRPr="001F3F6B">
        <w:rPr>
          <w:sz w:val="20"/>
          <w:szCs w:val="20"/>
          <w:lang w:val="en-US"/>
        </w:rPr>
        <w:t xml:space="preserve">ensure that young people in Iraq, including in the most marginalized </w:t>
      </w:r>
      <w:r w:rsidR="00FD6E14" w:rsidRPr="001F3F6B">
        <w:rPr>
          <w:sz w:val="20"/>
          <w:szCs w:val="20"/>
          <w:lang w:val="en-US"/>
        </w:rPr>
        <w:t xml:space="preserve">in </w:t>
      </w:r>
      <w:r w:rsidR="00292040" w:rsidRPr="001F3F6B">
        <w:rPr>
          <w:sz w:val="20"/>
          <w:szCs w:val="20"/>
          <w:lang w:val="en-US"/>
        </w:rPr>
        <w:t>situations of refugeehood and internal displacements and experiencing intersectional vulnerabilities related to gender or physical or mental impairment, have the potential to realize their productive capacities and enjoy their right to work</w:t>
      </w:r>
      <w:r w:rsidR="00B61040" w:rsidRPr="001F3F6B">
        <w:rPr>
          <w:sz w:val="20"/>
          <w:szCs w:val="20"/>
          <w:lang w:val="en-US"/>
        </w:rPr>
        <w:t xml:space="preserve">. </w:t>
      </w:r>
      <w:r w:rsidR="008B77A1" w:rsidRPr="001F3F6B">
        <w:rPr>
          <w:sz w:val="20"/>
          <w:szCs w:val="20"/>
          <w:lang w:val="en-US"/>
        </w:rPr>
        <w:t xml:space="preserve">This will ensure </w:t>
      </w:r>
      <w:r w:rsidR="00C77E3A" w:rsidRPr="001F3F6B">
        <w:rPr>
          <w:sz w:val="20"/>
          <w:szCs w:val="20"/>
          <w:lang w:val="en-US"/>
        </w:rPr>
        <w:t>their effective</w:t>
      </w:r>
      <w:r w:rsidR="00292040" w:rsidRPr="001F3F6B">
        <w:rPr>
          <w:sz w:val="20"/>
          <w:szCs w:val="20"/>
          <w:lang w:val="en-US"/>
        </w:rPr>
        <w:t xml:space="preserve"> contributi</w:t>
      </w:r>
      <w:r w:rsidR="00C77E3A" w:rsidRPr="001F3F6B">
        <w:rPr>
          <w:sz w:val="20"/>
          <w:szCs w:val="20"/>
          <w:lang w:val="en-US"/>
        </w:rPr>
        <w:t>on</w:t>
      </w:r>
      <w:r w:rsidR="00292040" w:rsidRPr="001F3F6B">
        <w:rPr>
          <w:sz w:val="20"/>
          <w:szCs w:val="20"/>
          <w:lang w:val="en-US"/>
        </w:rPr>
        <w:t xml:space="preserve"> to local, regional, and national economic development. </w:t>
      </w:r>
      <w:r w:rsidR="00D17378">
        <w:rPr>
          <w:sz w:val="20"/>
          <w:szCs w:val="20"/>
          <w:lang w:val="en-US"/>
        </w:rPr>
        <w:t xml:space="preserve">There is need to adopt a </w:t>
      </w:r>
      <w:r w:rsidR="00292040" w:rsidRPr="001F3F6B">
        <w:rPr>
          <w:sz w:val="20"/>
          <w:szCs w:val="20"/>
          <w:lang w:val="en-US"/>
        </w:rPr>
        <w:t>more comprehensive</w:t>
      </w:r>
      <w:r w:rsidR="009C31A2">
        <w:rPr>
          <w:sz w:val="20"/>
          <w:szCs w:val="20"/>
          <w:lang w:val="en-US"/>
        </w:rPr>
        <w:t>, consultative</w:t>
      </w:r>
      <w:r w:rsidR="00292040" w:rsidRPr="001F3F6B">
        <w:rPr>
          <w:sz w:val="20"/>
          <w:szCs w:val="20"/>
          <w:lang w:val="en-US"/>
        </w:rPr>
        <w:t xml:space="preserve"> and integrated approach that brings together demand- and supply-side solutions </w:t>
      </w:r>
      <w:r w:rsidR="006307CE">
        <w:rPr>
          <w:sz w:val="20"/>
          <w:szCs w:val="20"/>
          <w:lang w:val="en-US"/>
        </w:rPr>
        <w:t>gathered from all</w:t>
      </w:r>
      <w:r w:rsidR="00292040" w:rsidRPr="001F3F6B">
        <w:rPr>
          <w:sz w:val="20"/>
          <w:szCs w:val="20"/>
          <w:lang w:val="en-US"/>
        </w:rPr>
        <w:t xml:space="preserve"> </w:t>
      </w:r>
      <w:r w:rsidR="006307CE">
        <w:rPr>
          <w:sz w:val="20"/>
          <w:szCs w:val="20"/>
          <w:lang w:val="en-US"/>
        </w:rPr>
        <w:t>relevant</w:t>
      </w:r>
      <w:r w:rsidR="00292040" w:rsidRPr="001F3F6B">
        <w:rPr>
          <w:sz w:val="20"/>
          <w:szCs w:val="20"/>
          <w:lang w:val="en-US"/>
        </w:rPr>
        <w:t xml:space="preserve"> </w:t>
      </w:r>
      <w:r w:rsidR="00292040" w:rsidRPr="001F3F6B">
        <w:rPr>
          <w:sz w:val="20"/>
          <w:szCs w:val="20"/>
          <w:lang w:val="en-US"/>
        </w:rPr>
        <w:lastRenderedPageBreak/>
        <w:t>stakeholders, including government, workers’ and employers’ organization, development partners, academia, civil society, and young people.</w:t>
      </w:r>
    </w:p>
    <w:p w14:paraId="3B0FAB8C" w14:textId="77777777" w:rsidR="00292040" w:rsidRPr="001F3F6B" w:rsidRDefault="00292040" w:rsidP="00444A8B">
      <w:pPr>
        <w:pStyle w:val="NormalBody"/>
        <w:rPr>
          <w:sz w:val="20"/>
          <w:szCs w:val="20"/>
          <w:lang w:val="en-US"/>
        </w:rPr>
      </w:pPr>
    </w:p>
    <w:p w14:paraId="74D377F7" w14:textId="781E1174" w:rsidR="006B2114" w:rsidRPr="001E3B5F" w:rsidRDefault="00EF657E" w:rsidP="006B2114">
      <w:pPr>
        <w:pStyle w:val="NormalBody"/>
        <w:rPr>
          <w:sz w:val="20"/>
          <w:szCs w:val="20"/>
          <w:lang w:val="en-US"/>
        </w:rPr>
      </w:pPr>
      <w:r w:rsidRPr="001E3B5F">
        <w:rPr>
          <w:sz w:val="20"/>
          <w:szCs w:val="20"/>
          <w:lang w:val="en-US"/>
        </w:rPr>
        <w:t xml:space="preserve">In partnership with the </w:t>
      </w:r>
      <w:r w:rsidR="003928ED">
        <w:rPr>
          <w:sz w:val="20"/>
          <w:szCs w:val="20"/>
          <w:lang w:val="en-US"/>
        </w:rPr>
        <w:t>EP</w:t>
      </w:r>
      <w:r w:rsidR="0042520B">
        <w:rPr>
          <w:sz w:val="20"/>
          <w:szCs w:val="20"/>
          <w:lang w:val="en-US"/>
        </w:rPr>
        <w:t>S</w:t>
      </w:r>
      <w:r w:rsidR="003928ED">
        <w:rPr>
          <w:sz w:val="20"/>
          <w:szCs w:val="20"/>
          <w:lang w:val="en-US"/>
        </w:rPr>
        <w:t>I</w:t>
      </w:r>
      <w:r w:rsidR="0090277B" w:rsidRPr="001E3B5F">
        <w:rPr>
          <w:sz w:val="20"/>
          <w:szCs w:val="20"/>
          <w:lang w:val="en-US"/>
        </w:rPr>
        <w:t xml:space="preserve"> t</w:t>
      </w:r>
      <w:r w:rsidR="006E1CAF" w:rsidRPr="001E3B5F">
        <w:rPr>
          <w:sz w:val="20"/>
          <w:szCs w:val="20"/>
          <w:lang w:val="en-US"/>
        </w:rPr>
        <w:t>he International Labour Organisation</w:t>
      </w:r>
      <w:r w:rsidR="008223DA" w:rsidRPr="001E3B5F">
        <w:rPr>
          <w:sz w:val="20"/>
          <w:szCs w:val="20"/>
          <w:lang w:val="en-US"/>
        </w:rPr>
        <w:t xml:space="preserve"> is implementing the </w:t>
      </w:r>
      <w:r w:rsidR="003928ED" w:rsidRPr="003928ED">
        <w:rPr>
          <w:b/>
          <w:bCs/>
          <w:sz w:val="20"/>
          <w:szCs w:val="20"/>
          <w:lang w:val="en-US"/>
        </w:rPr>
        <w:t>Promoting Employment and Employability among Refugees, Internally Displaced Persons (IDPs) and Host Communities focusing on Women, PWDs, and Youths in Northern Iraq.</w:t>
      </w:r>
    </w:p>
    <w:p w14:paraId="2AB0CEEC" w14:textId="77777777" w:rsidR="0097301F" w:rsidRDefault="006B2114" w:rsidP="006B2114">
      <w:pPr>
        <w:pStyle w:val="NormalBody"/>
        <w:rPr>
          <w:sz w:val="20"/>
          <w:szCs w:val="20"/>
          <w:lang w:val="en-US"/>
        </w:rPr>
      </w:pPr>
      <w:r w:rsidRPr="005F5990">
        <w:rPr>
          <w:b/>
          <w:bCs/>
          <w:sz w:val="20"/>
          <w:szCs w:val="20"/>
          <w:lang w:val="en-US"/>
        </w:rPr>
        <w:t>Project Objective:</w:t>
      </w:r>
      <w:r w:rsidRPr="001E3B5F">
        <w:rPr>
          <w:sz w:val="20"/>
          <w:szCs w:val="20"/>
          <w:lang w:val="en-US"/>
        </w:rPr>
        <w:t xml:space="preserve">  </w:t>
      </w:r>
      <w:r w:rsidR="0097301F" w:rsidRPr="0097301F">
        <w:rPr>
          <w:sz w:val="20"/>
          <w:szCs w:val="20"/>
          <w:lang w:val="en-US"/>
        </w:rPr>
        <w:t xml:space="preserve">To support better labour market integration and transition of marginalized populations including refugees, internally displaced persons, host communities as well as youth and women, into decent jobs through strengthened employment services, work-based learning, and skills development, with a focus on green jobs and green enterprise development. </w:t>
      </w:r>
    </w:p>
    <w:p w14:paraId="1452E2B6" w14:textId="7A1EEDC2" w:rsidR="005D147C" w:rsidRPr="005D147C" w:rsidRDefault="00E34A83" w:rsidP="005D147C">
      <w:pPr>
        <w:pStyle w:val="Headinglevel2"/>
        <w:rPr>
          <w:b w:val="0"/>
          <w:bCs w:val="0"/>
        </w:rPr>
      </w:pPr>
      <w:r>
        <w:rPr>
          <w:b w:val="0"/>
          <w:bCs w:val="0"/>
        </w:rPr>
        <w:t>Overall assignment objective</w:t>
      </w:r>
    </w:p>
    <w:p w14:paraId="727DCBE2" w14:textId="05A48A1B" w:rsidR="00E34A83" w:rsidRPr="006A3367" w:rsidRDefault="00E34A83" w:rsidP="00E34A83">
      <w:pPr>
        <w:pStyle w:val="NormalBody"/>
        <w:rPr>
          <w:b/>
          <w:sz w:val="20"/>
          <w:szCs w:val="20"/>
          <w:lang w:val="en-US"/>
        </w:rPr>
      </w:pPr>
      <w:r w:rsidRPr="006A3367">
        <w:rPr>
          <w:b/>
          <w:sz w:val="20"/>
          <w:szCs w:val="20"/>
          <w:lang w:val="en-US"/>
        </w:rPr>
        <w:t>The objectives of this assignment are</w:t>
      </w:r>
      <w:r w:rsidR="00267EB6" w:rsidRPr="006A3367">
        <w:rPr>
          <w:b/>
          <w:sz w:val="20"/>
          <w:szCs w:val="20"/>
          <w:lang w:val="en-US"/>
        </w:rPr>
        <w:t>:</w:t>
      </w:r>
    </w:p>
    <w:p w14:paraId="5F0382DA" w14:textId="2209D955" w:rsidR="00E34A83" w:rsidRPr="006A3367" w:rsidRDefault="004F0E03" w:rsidP="00267EB6">
      <w:pPr>
        <w:pStyle w:val="ListBullet1"/>
        <w:rPr>
          <w:bCs/>
          <w:sz w:val="20"/>
          <w:szCs w:val="20"/>
          <w:lang w:val="en-US"/>
        </w:rPr>
      </w:pPr>
      <w:r>
        <w:rPr>
          <w:bCs/>
          <w:sz w:val="20"/>
          <w:szCs w:val="20"/>
          <w:lang w:val="en-US"/>
        </w:rPr>
        <w:t>To generate e</w:t>
      </w:r>
      <w:r w:rsidR="00267EB6" w:rsidRPr="006A3367">
        <w:rPr>
          <w:bCs/>
          <w:sz w:val="20"/>
          <w:szCs w:val="20"/>
          <w:lang w:val="en-US"/>
        </w:rPr>
        <w:t>vidence on the benefits of the integration of youth, women, internally displaced persons and refugees in the labour market in Iraq is strengthened.</w:t>
      </w:r>
    </w:p>
    <w:p w14:paraId="2185A1D0" w14:textId="4F58D1F3" w:rsidR="00267EB6" w:rsidRPr="006A3367" w:rsidRDefault="00D34130" w:rsidP="00267EB6">
      <w:pPr>
        <w:pStyle w:val="ListBullet1"/>
        <w:rPr>
          <w:bCs/>
          <w:sz w:val="20"/>
          <w:szCs w:val="20"/>
          <w:lang w:val="en-US"/>
        </w:rPr>
      </w:pPr>
      <w:r w:rsidRPr="006A3367">
        <w:rPr>
          <w:bCs/>
          <w:sz w:val="20"/>
          <w:szCs w:val="20"/>
          <w:lang w:val="en-US"/>
        </w:rPr>
        <w:t xml:space="preserve">Evidence based </w:t>
      </w:r>
      <w:r w:rsidR="009C3FA1" w:rsidRPr="006A3367">
        <w:rPr>
          <w:bCs/>
          <w:sz w:val="20"/>
          <w:szCs w:val="20"/>
          <w:lang w:val="en-US"/>
        </w:rPr>
        <w:t xml:space="preserve">policy development on the </w:t>
      </w:r>
      <w:r w:rsidR="00330F31" w:rsidRPr="006A3367">
        <w:rPr>
          <w:bCs/>
          <w:sz w:val="20"/>
          <w:szCs w:val="20"/>
          <w:lang w:val="en-US"/>
        </w:rPr>
        <w:t>integration</w:t>
      </w:r>
      <w:r w:rsidR="009C3FA1" w:rsidRPr="006A3367">
        <w:rPr>
          <w:bCs/>
          <w:sz w:val="20"/>
          <w:szCs w:val="20"/>
          <w:lang w:val="en-US"/>
        </w:rPr>
        <w:t xml:space="preserve"> of </w:t>
      </w:r>
      <w:r w:rsidR="00330F31" w:rsidRPr="006A3367">
        <w:rPr>
          <w:bCs/>
          <w:sz w:val="20"/>
          <w:szCs w:val="20"/>
          <w:lang w:val="en-US"/>
        </w:rPr>
        <w:t xml:space="preserve">youth, women, IDPs and refugees in the </w:t>
      </w:r>
      <w:r w:rsidR="00765F3E" w:rsidRPr="006A3367">
        <w:rPr>
          <w:bCs/>
          <w:sz w:val="20"/>
          <w:szCs w:val="20"/>
          <w:lang w:val="en-US"/>
        </w:rPr>
        <w:t>labour market.</w:t>
      </w:r>
    </w:p>
    <w:p w14:paraId="706422F7" w14:textId="287B7E15" w:rsidR="00E34A83" w:rsidRPr="006A3367" w:rsidRDefault="00765F3E" w:rsidP="006B2114">
      <w:pPr>
        <w:pStyle w:val="ListBullet1"/>
        <w:rPr>
          <w:bCs/>
          <w:sz w:val="20"/>
          <w:szCs w:val="20"/>
          <w:lang w:val="en-US"/>
        </w:rPr>
      </w:pPr>
      <w:r w:rsidRPr="006A3367">
        <w:rPr>
          <w:bCs/>
          <w:sz w:val="20"/>
          <w:szCs w:val="20"/>
          <w:lang w:val="en-US"/>
        </w:rPr>
        <w:t>Capacity building of policy makers</w:t>
      </w:r>
      <w:r w:rsidR="00EA6699" w:rsidRPr="006A3367">
        <w:rPr>
          <w:bCs/>
          <w:sz w:val="20"/>
          <w:szCs w:val="20"/>
          <w:lang w:val="en-US"/>
        </w:rPr>
        <w:t xml:space="preserve">, trade unions and employer </w:t>
      </w:r>
      <w:r w:rsidR="006E2C43" w:rsidRPr="006A3367">
        <w:rPr>
          <w:bCs/>
          <w:sz w:val="20"/>
          <w:szCs w:val="20"/>
          <w:lang w:val="en-US"/>
        </w:rPr>
        <w:t>organizations</w:t>
      </w:r>
      <w:r w:rsidR="00EA6699" w:rsidRPr="006A3367">
        <w:rPr>
          <w:bCs/>
          <w:sz w:val="20"/>
          <w:szCs w:val="20"/>
          <w:lang w:val="en-US"/>
        </w:rPr>
        <w:t xml:space="preserve"> o</w:t>
      </w:r>
      <w:r w:rsidR="006A3367" w:rsidRPr="006A3367">
        <w:rPr>
          <w:bCs/>
          <w:sz w:val="20"/>
          <w:szCs w:val="20"/>
          <w:lang w:val="en-US"/>
        </w:rPr>
        <w:t xml:space="preserve">n </w:t>
      </w:r>
      <w:r w:rsidR="00E44DA6">
        <w:rPr>
          <w:bCs/>
          <w:sz w:val="20"/>
          <w:szCs w:val="20"/>
          <w:lang w:val="en-US"/>
        </w:rPr>
        <w:t xml:space="preserve">consultative </w:t>
      </w:r>
      <w:r w:rsidR="002920FB">
        <w:rPr>
          <w:bCs/>
          <w:sz w:val="20"/>
          <w:szCs w:val="20"/>
          <w:lang w:val="en-US"/>
        </w:rPr>
        <w:t xml:space="preserve">and evidence-based </w:t>
      </w:r>
      <w:r w:rsidR="00DB4F7E">
        <w:rPr>
          <w:bCs/>
          <w:sz w:val="20"/>
          <w:szCs w:val="20"/>
          <w:lang w:val="en-US"/>
        </w:rPr>
        <w:t>po</w:t>
      </w:r>
      <w:r w:rsidR="00DB4F7E" w:rsidRPr="006A3367">
        <w:rPr>
          <w:bCs/>
          <w:sz w:val="20"/>
          <w:szCs w:val="20"/>
          <w:lang w:val="en-US"/>
        </w:rPr>
        <w:t>licy</w:t>
      </w:r>
      <w:r w:rsidR="006A3367" w:rsidRPr="006A3367">
        <w:rPr>
          <w:bCs/>
          <w:sz w:val="20"/>
          <w:szCs w:val="20"/>
          <w:lang w:val="en-US"/>
        </w:rPr>
        <w:t xml:space="preserve"> </w:t>
      </w:r>
      <w:r w:rsidR="00E44DA6">
        <w:rPr>
          <w:bCs/>
          <w:sz w:val="20"/>
          <w:szCs w:val="20"/>
          <w:lang w:val="en-US"/>
        </w:rPr>
        <w:t>formulation</w:t>
      </w:r>
      <w:r w:rsidR="006A3367" w:rsidRPr="006A3367">
        <w:rPr>
          <w:bCs/>
          <w:sz w:val="20"/>
          <w:szCs w:val="20"/>
          <w:lang w:val="en-US"/>
        </w:rPr>
        <w:t>.</w:t>
      </w:r>
    </w:p>
    <w:p w14:paraId="497BBC7F" w14:textId="54913671" w:rsidR="00015C53" w:rsidRPr="004E2B49" w:rsidRDefault="004E2B49" w:rsidP="004E2B49">
      <w:pPr>
        <w:pStyle w:val="Headinglevel1"/>
        <w:pageBreakBefore w:val="0"/>
        <w:pBdr>
          <w:bottom w:val="none" w:sz="0" w:space="0" w:color="auto"/>
        </w:pBdr>
        <w:spacing w:before="240" w:after="120"/>
        <w:ind w:left="346" w:hanging="346"/>
        <w:rPr>
          <w:lang w:val="en-US"/>
        </w:rPr>
      </w:pPr>
      <w:r w:rsidRPr="004E2B49">
        <w:rPr>
          <w:lang w:val="en-US"/>
        </w:rPr>
        <w:t xml:space="preserve">Scope </w:t>
      </w:r>
      <w:r>
        <w:rPr>
          <w:lang w:val="en-US"/>
        </w:rPr>
        <w:t>o</w:t>
      </w:r>
      <w:r w:rsidRPr="004E2B49">
        <w:rPr>
          <w:lang w:val="en-US"/>
        </w:rPr>
        <w:t>f Work</w:t>
      </w:r>
    </w:p>
    <w:p w14:paraId="12B739B7" w14:textId="5428AE8C" w:rsidR="005D147C" w:rsidRDefault="005D147C" w:rsidP="005D147C">
      <w:pPr>
        <w:pStyle w:val="NormalBody"/>
        <w:rPr>
          <w:sz w:val="20"/>
          <w:szCs w:val="20"/>
          <w:lang w:val="en-US"/>
        </w:rPr>
      </w:pPr>
      <w:r w:rsidRPr="005D147C">
        <w:rPr>
          <w:sz w:val="20"/>
          <w:szCs w:val="20"/>
          <w:lang w:val="en-US"/>
        </w:rPr>
        <w:t xml:space="preserve">In this assignment, </w:t>
      </w:r>
      <w:r w:rsidR="0063078A" w:rsidRPr="0042219B">
        <w:rPr>
          <w:sz w:val="20"/>
          <w:szCs w:val="20"/>
          <w:lang w:val="en-US"/>
        </w:rPr>
        <w:t xml:space="preserve">the project would like to conduct assessments to better understand the </w:t>
      </w:r>
      <w:r w:rsidR="0040149E">
        <w:rPr>
          <w:sz w:val="20"/>
          <w:szCs w:val="20"/>
          <w:lang w:val="en-US"/>
        </w:rPr>
        <w:t xml:space="preserve">policy environment and </w:t>
      </w:r>
      <w:r w:rsidR="0063078A" w:rsidRPr="0042219B">
        <w:rPr>
          <w:sz w:val="20"/>
          <w:szCs w:val="20"/>
          <w:lang w:val="en-US"/>
        </w:rPr>
        <w:t>labour market situation in the Ninawa, Duhok, Erbil, and Sulaymaniyah with a focus on youths, women, refugees, IDPs and host communities</w:t>
      </w:r>
      <w:r w:rsidR="00790466">
        <w:rPr>
          <w:sz w:val="20"/>
          <w:szCs w:val="20"/>
          <w:lang w:val="en-US"/>
        </w:rPr>
        <w:t xml:space="preserve">. </w:t>
      </w:r>
      <w:r w:rsidRPr="005D147C">
        <w:rPr>
          <w:sz w:val="20"/>
          <w:szCs w:val="20"/>
          <w:lang w:val="en-US"/>
        </w:rPr>
        <w:t xml:space="preserve">ILO will also conduct sectoral assessment to identify sectors with a potential to create decent jobs to young people, including in marginalized situations of refugeehood and internal displacement as well as young women and youth with disabilities. </w:t>
      </w:r>
    </w:p>
    <w:p w14:paraId="40F34982" w14:textId="77777777" w:rsidR="005E395F" w:rsidRDefault="005E395F" w:rsidP="005D147C">
      <w:pPr>
        <w:pStyle w:val="NormalBody"/>
        <w:rPr>
          <w:sz w:val="20"/>
          <w:szCs w:val="20"/>
          <w:lang w:val="en-US"/>
        </w:rPr>
      </w:pPr>
    </w:p>
    <w:p w14:paraId="09AC6B1F" w14:textId="24A0AFF7" w:rsidR="005D147C" w:rsidRDefault="005D147C" w:rsidP="005D147C">
      <w:pPr>
        <w:pStyle w:val="NormalBody"/>
        <w:rPr>
          <w:sz w:val="20"/>
          <w:szCs w:val="20"/>
          <w:lang w:val="en-US"/>
        </w:rPr>
      </w:pPr>
      <w:r w:rsidRPr="005D147C">
        <w:rPr>
          <w:sz w:val="20"/>
          <w:szCs w:val="20"/>
          <w:lang w:val="en-US"/>
        </w:rPr>
        <w:t>This</w:t>
      </w:r>
      <w:r w:rsidR="007A582A">
        <w:rPr>
          <w:sz w:val="20"/>
          <w:szCs w:val="20"/>
          <w:lang w:val="en-US"/>
        </w:rPr>
        <w:t xml:space="preserve"> </w:t>
      </w:r>
      <w:r w:rsidR="008D1DA9">
        <w:rPr>
          <w:sz w:val="20"/>
          <w:szCs w:val="20"/>
          <w:lang w:val="en-US"/>
        </w:rPr>
        <w:t>Inclusive Employment</w:t>
      </w:r>
      <w:r w:rsidRPr="005D147C">
        <w:rPr>
          <w:sz w:val="20"/>
          <w:szCs w:val="20"/>
          <w:lang w:val="en-US"/>
        </w:rPr>
        <w:t xml:space="preserve"> platform will be responsible to guide all the assessments and policy papers that need to be generated by all actors which are involved to enhance the integration of young refugees/IDPs in the labour market.</w:t>
      </w:r>
      <w:r w:rsidR="00481C1B" w:rsidRPr="00481C1B">
        <w:t xml:space="preserve"> </w:t>
      </w:r>
      <w:r w:rsidR="00481C1B" w:rsidRPr="00481C1B">
        <w:rPr>
          <w:sz w:val="20"/>
          <w:szCs w:val="20"/>
          <w:lang w:val="en-US"/>
        </w:rPr>
        <w:t>The IEP is a collaborative initiative whose purpose is to i) present evidence-based research findings and discuss policy options for the labour market inclusion of youths, refugee, IDPs, women and other vulnerable populations; ii) facilitate discussions on labour market and employment policies and iii) offer complementary measures and advocating for employment for everybody in Iraq, including refugees, internally displaced persons (IDPs) and host communities is led. The policy dialogue platform, the ILO will be actively engaged in presenting findings and recommendations from series of these planned assessments, policies and policy papers with the objective of sensitizing members of state actors and key stakeholders on issues related to inclusion of refugees, IDPs, women, Persons living with disabilities (PWDs) in the labour market. As a result, this will enhance their knowledge base and capacity to develop inclusive policy options and legal frameworks.</w:t>
      </w:r>
      <w:r w:rsidRPr="005D147C">
        <w:rPr>
          <w:sz w:val="20"/>
          <w:szCs w:val="20"/>
          <w:lang w:val="en-US"/>
        </w:rPr>
        <w:t xml:space="preserve"> As an entry point, during the first sessions of the</w:t>
      </w:r>
      <w:r w:rsidR="007A582A">
        <w:rPr>
          <w:sz w:val="20"/>
          <w:szCs w:val="20"/>
          <w:lang w:val="en-US"/>
        </w:rPr>
        <w:t xml:space="preserve"> IEP</w:t>
      </w:r>
      <w:r w:rsidRPr="005D147C">
        <w:rPr>
          <w:sz w:val="20"/>
          <w:szCs w:val="20"/>
          <w:lang w:val="en-US"/>
        </w:rPr>
        <w:t xml:space="preserve">, the ILO being facilitator and supporting agency of the development of “Iraq national strategy to prevent and reduce inequalities in the world of work 2024-2028”, the project will present on the following agenda specific to refugees and IDPs to sensitize members of state actors and policy makers of relevant state structures and key stakeholders. The </w:t>
      </w:r>
      <w:r w:rsidRPr="005D147C">
        <w:rPr>
          <w:sz w:val="20"/>
          <w:szCs w:val="20"/>
          <w:lang w:val="en-US"/>
        </w:rPr>
        <w:lastRenderedPageBreak/>
        <w:t>agenda includes but is not limited to forms of inequalities in the labour market and its consequences in Iraq; the importance of Iraq’s national strategy to prevent and reduce inequalities in the world of work; policy context and key opportunities to address root causes of inequalities in the world of work in Iraq; and Iraq’s national roadmap to prevent and reduce inequalities in the world of work. In subsequent sessions of the policy dialogue platform, the ILO will be actively engaged in presenting findings and recommendations from series of planned assessments and policy paper with the objective of sensitizing members of state actors and key stakeholders on issues related to inclusion of refugees, IDPs, women, Persons living with disabilities (PWDs) in the labour market. As a result, this will enhance their knowledge base and capacity to develop inclusive policy options and legal frameworks.</w:t>
      </w:r>
      <w:r w:rsidR="00C52245">
        <w:rPr>
          <w:sz w:val="20"/>
          <w:szCs w:val="20"/>
          <w:lang w:val="en-US"/>
        </w:rPr>
        <w:t xml:space="preserve"> </w:t>
      </w:r>
      <w:r w:rsidRPr="005D147C">
        <w:rPr>
          <w:sz w:val="20"/>
          <w:szCs w:val="20"/>
          <w:lang w:val="en-US"/>
        </w:rPr>
        <w:t>All the assessments and evidence-based policy dialogue will culminate into the development of three distinct policies focusing on inclusion of refugees and IDPs in the labour market, women participation in the labour force, and inclusion of PWDs in the labour market.</w:t>
      </w:r>
    </w:p>
    <w:p w14:paraId="7194EFCD" w14:textId="77777777" w:rsidR="005D147C" w:rsidRDefault="005D147C" w:rsidP="00E34A83">
      <w:pPr>
        <w:pStyle w:val="NormalBody"/>
        <w:rPr>
          <w:sz w:val="20"/>
          <w:szCs w:val="20"/>
          <w:lang w:val="en-US"/>
        </w:rPr>
      </w:pPr>
    </w:p>
    <w:p w14:paraId="69F41C4E" w14:textId="10D25F0B" w:rsidR="00E34A83" w:rsidRPr="00717A6C" w:rsidRDefault="00E34A83" w:rsidP="00E34A83">
      <w:pPr>
        <w:pStyle w:val="NormalBody"/>
        <w:rPr>
          <w:sz w:val="20"/>
          <w:szCs w:val="20"/>
          <w:lang w:val="en-US"/>
        </w:rPr>
      </w:pPr>
      <w:r w:rsidRPr="00717A6C">
        <w:rPr>
          <w:sz w:val="20"/>
          <w:szCs w:val="20"/>
          <w:lang w:val="en-US"/>
        </w:rPr>
        <w:t>The research entity will be responsible for conducting a detailed, multi-phase assessment of</w:t>
      </w:r>
      <w:r w:rsidR="005179D2">
        <w:rPr>
          <w:sz w:val="20"/>
          <w:szCs w:val="20"/>
          <w:lang w:val="en-US"/>
        </w:rPr>
        <w:t xml:space="preserve"> the policy environment </w:t>
      </w:r>
      <w:r w:rsidR="004523CA">
        <w:rPr>
          <w:sz w:val="20"/>
          <w:szCs w:val="20"/>
          <w:lang w:val="en-US"/>
        </w:rPr>
        <w:t xml:space="preserve">of the </w:t>
      </w:r>
      <w:r w:rsidR="005179D2">
        <w:rPr>
          <w:sz w:val="20"/>
          <w:szCs w:val="20"/>
          <w:lang w:val="en-US"/>
        </w:rPr>
        <w:t xml:space="preserve">labour market </w:t>
      </w:r>
      <w:r w:rsidR="004523CA">
        <w:rPr>
          <w:sz w:val="20"/>
          <w:szCs w:val="20"/>
          <w:lang w:val="en-US"/>
        </w:rPr>
        <w:t>in select</w:t>
      </w:r>
      <w:r w:rsidR="008B7C11">
        <w:rPr>
          <w:sz w:val="20"/>
          <w:szCs w:val="20"/>
          <w:lang w:val="en-US"/>
        </w:rPr>
        <w:t>ed sectors in</w:t>
      </w:r>
      <w:r w:rsidRPr="00717A6C">
        <w:rPr>
          <w:sz w:val="20"/>
          <w:szCs w:val="20"/>
          <w:lang w:val="en-US"/>
        </w:rPr>
        <w:t xml:space="preserve"> public</w:t>
      </w:r>
      <w:r w:rsidR="008B7C11">
        <w:rPr>
          <w:sz w:val="20"/>
          <w:szCs w:val="20"/>
          <w:lang w:val="en-US"/>
        </w:rPr>
        <w:t xml:space="preserve"> and private</w:t>
      </w:r>
      <w:r w:rsidRPr="00717A6C">
        <w:rPr>
          <w:sz w:val="20"/>
          <w:szCs w:val="20"/>
          <w:lang w:val="en-US"/>
        </w:rPr>
        <w:t xml:space="preserve"> sector in Iraq. The research entity</w:t>
      </w:r>
      <w:r w:rsidR="008E6AF4">
        <w:rPr>
          <w:sz w:val="20"/>
          <w:szCs w:val="20"/>
          <w:lang w:val="en-US"/>
        </w:rPr>
        <w:t xml:space="preserve"> will</w:t>
      </w:r>
      <w:r w:rsidRPr="00717A6C">
        <w:rPr>
          <w:sz w:val="20"/>
          <w:szCs w:val="20"/>
          <w:lang w:val="en-US"/>
        </w:rPr>
        <w:t xml:space="preserve"> be tasked </w:t>
      </w:r>
      <w:r w:rsidR="00D222E6">
        <w:rPr>
          <w:sz w:val="20"/>
          <w:szCs w:val="20"/>
          <w:lang w:val="en-US"/>
        </w:rPr>
        <w:t xml:space="preserve">to conduct the following activities </w:t>
      </w:r>
      <w:r w:rsidR="00B11A6E">
        <w:rPr>
          <w:sz w:val="20"/>
          <w:szCs w:val="20"/>
          <w:lang w:val="en-US"/>
        </w:rPr>
        <w:t xml:space="preserve">and to additionally, </w:t>
      </w:r>
      <w:r w:rsidRPr="00717A6C">
        <w:rPr>
          <w:sz w:val="20"/>
          <w:szCs w:val="20"/>
          <w:lang w:val="en-US"/>
        </w:rPr>
        <w:t>develop actionable recommendations</w:t>
      </w:r>
      <w:r w:rsidR="00B11A6E">
        <w:rPr>
          <w:sz w:val="20"/>
          <w:szCs w:val="20"/>
          <w:lang w:val="en-US"/>
        </w:rPr>
        <w:t>.</w:t>
      </w:r>
    </w:p>
    <w:p w14:paraId="18FC8E7F" w14:textId="701BBE43" w:rsidR="004E2B49" w:rsidRPr="005D4A17" w:rsidRDefault="00E34A83" w:rsidP="00E34A83">
      <w:pPr>
        <w:pStyle w:val="NormalBody"/>
        <w:rPr>
          <w:sz w:val="20"/>
          <w:szCs w:val="20"/>
          <w:lang w:val="en-US"/>
        </w:rPr>
      </w:pPr>
      <w:r w:rsidRPr="005D4A17">
        <w:rPr>
          <w:sz w:val="20"/>
          <w:szCs w:val="20"/>
          <w:lang w:val="en-US"/>
        </w:rPr>
        <w:t>The scope of work is broken down into the following key tasks</w:t>
      </w:r>
      <w:r w:rsidR="00E42D85" w:rsidRPr="005D4A17">
        <w:rPr>
          <w:sz w:val="20"/>
          <w:szCs w:val="20"/>
          <w:lang w:val="en-US"/>
        </w:rPr>
        <w:t>:</w:t>
      </w:r>
    </w:p>
    <w:p w14:paraId="13E91480" w14:textId="77777777" w:rsidR="00D9323F" w:rsidRDefault="00652B57" w:rsidP="00D9323F">
      <w:pPr>
        <w:pStyle w:val="NormalBody"/>
        <w:numPr>
          <w:ilvl w:val="0"/>
          <w:numId w:val="20"/>
        </w:numPr>
        <w:rPr>
          <w:b/>
          <w:bCs/>
          <w:color w:val="1E2DBE"/>
          <w:sz w:val="20"/>
          <w:szCs w:val="20"/>
          <w:lang w:val="en-US"/>
        </w:rPr>
      </w:pPr>
      <w:r w:rsidRPr="005D4A17">
        <w:rPr>
          <w:b/>
          <w:bCs/>
          <w:color w:val="1E2DBE"/>
          <w:sz w:val="20"/>
          <w:szCs w:val="20"/>
          <w:lang w:val="en-US"/>
        </w:rPr>
        <w:t>Conduct a meta-analysis of existing research, studies and policy brief</w:t>
      </w:r>
    </w:p>
    <w:p w14:paraId="474F8E82" w14:textId="77777777" w:rsidR="00D9323F" w:rsidRDefault="00767AD3" w:rsidP="00BE30B5">
      <w:pPr>
        <w:pStyle w:val="NormalBody"/>
        <w:rPr>
          <w:bCs/>
          <w:sz w:val="20"/>
          <w:szCs w:val="20"/>
          <w:lang w:val="en-US"/>
        </w:rPr>
      </w:pPr>
      <w:r>
        <w:rPr>
          <w:bCs/>
          <w:sz w:val="20"/>
          <w:szCs w:val="20"/>
          <w:lang w:val="en-US"/>
        </w:rPr>
        <w:t>T</w:t>
      </w:r>
      <w:r w:rsidR="00DC62C8" w:rsidRPr="00767AD3">
        <w:rPr>
          <w:bCs/>
          <w:sz w:val="20"/>
          <w:szCs w:val="20"/>
          <w:lang w:val="en-US"/>
        </w:rPr>
        <w:t xml:space="preserve">he </w:t>
      </w:r>
      <w:r w:rsidR="0037023D" w:rsidRPr="00767AD3">
        <w:rPr>
          <w:bCs/>
          <w:sz w:val="20"/>
          <w:szCs w:val="20"/>
          <w:lang w:val="en-US"/>
        </w:rPr>
        <w:t>consulting f</w:t>
      </w:r>
      <w:r w:rsidR="00DD3B8B" w:rsidRPr="00767AD3">
        <w:rPr>
          <w:bCs/>
          <w:sz w:val="20"/>
          <w:szCs w:val="20"/>
          <w:lang w:val="en-US"/>
        </w:rPr>
        <w:t>irm</w:t>
      </w:r>
      <w:r w:rsidR="0037023D" w:rsidRPr="00767AD3">
        <w:rPr>
          <w:bCs/>
          <w:sz w:val="20"/>
          <w:szCs w:val="20"/>
          <w:lang w:val="en-US"/>
        </w:rPr>
        <w:t xml:space="preserve"> </w:t>
      </w:r>
      <w:r w:rsidR="00DC62C8" w:rsidRPr="00767AD3">
        <w:rPr>
          <w:bCs/>
          <w:sz w:val="20"/>
          <w:szCs w:val="20"/>
          <w:lang w:val="en-US"/>
        </w:rPr>
        <w:t xml:space="preserve">will map and conduct meta-analysis of existing studies on refugees, IDPs and host communities across the country before embarking any of the abovementioned assessment as part of wider literature review. The findings from the meta-analysis will be presented at the Inclusive Employment Policy as part of a policy platform that is planned to be established among several stakeholders relevant to the labour market inclusion of refugees, IDPs and host communities in Iraq. </w:t>
      </w:r>
      <w:r w:rsidR="00DE17D9" w:rsidRPr="00767AD3">
        <w:rPr>
          <w:bCs/>
          <w:sz w:val="20"/>
          <w:szCs w:val="20"/>
          <w:lang w:val="en-US"/>
        </w:rPr>
        <w:t>The consult</w:t>
      </w:r>
      <w:r w:rsidR="00E63F16" w:rsidRPr="00767AD3">
        <w:rPr>
          <w:bCs/>
          <w:sz w:val="20"/>
          <w:szCs w:val="20"/>
          <w:lang w:val="en-US"/>
        </w:rPr>
        <w:t>ing f</w:t>
      </w:r>
      <w:r w:rsidR="00501D6B" w:rsidRPr="00767AD3">
        <w:rPr>
          <w:bCs/>
          <w:sz w:val="20"/>
          <w:szCs w:val="20"/>
          <w:lang w:val="en-US"/>
        </w:rPr>
        <w:t>i</w:t>
      </w:r>
      <w:r w:rsidR="00E63F16" w:rsidRPr="00767AD3">
        <w:rPr>
          <w:bCs/>
          <w:sz w:val="20"/>
          <w:szCs w:val="20"/>
          <w:lang w:val="en-US"/>
        </w:rPr>
        <w:t>rm</w:t>
      </w:r>
      <w:r w:rsidR="00C65D5B" w:rsidRPr="00767AD3">
        <w:rPr>
          <w:bCs/>
          <w:sz w:val="20"/>
          <w:szCs w:val="20"/>
          <w:lang w:val="en-US"/>
        </w:rPr>
        <w:t xml:space="preserve"> would</w:t>
      </w:r>
      <w:r w:rsidR="004F37A2" w:rsidRPr="00767AD3">
        <w:rPr>
          <w:bCs/>
          <w:sz w:val="20"/>
          <w:szCs w:val="20"/>
          <w:lang w:val="en-US"/>
        </w:rPr>
        <w:t xml:space="preserve"> conduct </w:t>
      </w:r>
      <w:r w:rsidR="001C4349" w:rsidRPr="00767AD3">
        <w:rPr>
          <w:bCs/>
          <w:sz w:val="20"/>
          <w:szCs w:val="20"/>
          <w:lang w:val="en-US"/>
        </w:rPr>
        <w:t xml:space="preserve">a </w:t>
      </w:r>
      <w:r w:rsidR="00EE17F6" w:rsidRPr="00767AD3">
        <w:rPr>
          <w:bCs/>
          <w:sz w:val="20"/>
          <w:szCs w:val="20"/>
          <w:lang w:val="en-US"/>
        </w:rPr>
        <w:t>meta-analysis</w:t>
      </w:r>
      <w:r w:rsidR="001C4349" w:rsidRPr="00767AD3">
        <w:rPr>
          <w:bCs/>
          <w:sz w:val="20"/>
          <w:szCs w:val="20"/>
          <w:lang w:val="en-US"/>
        </w:rPr>
        <w:t xml:space="preserve"> </w:t>
      </w:r>
      <w:r w:rsidR="00EE17F6" w:rsidRPr="00767AD3">
        <w:rPr>
          <w:bCs/>
          <w:sz w:val="20"/>
          <w:szCs w:val="20"/>
          <w:lang w:val="en-US"/>
        </w:rPr>
        <w:t>of Iraq’s</w:t>
      </w:r>
      <w:r w:rsidR="008D3350" w:rsidRPr="00767AD3">
        <w:rPr>
          <w:bCs/>
          <w:sz w:val="20"/>
          <w:szCs w:val="20"/>
          <w:lang w:val="en-US"/>
        </w:rPr>
        <w:t xml:space="preserve"> labour</w:t>
      </w:r>
      <w:r w:rsidR="00EE17F6" w:rsidRPr="00767AD3">
        <w:rPr>
          <w:bCs/>
          <w:sz w:val="20"/>
          <w:szCs w:val="20"/>
          <w:lang w:val="en-US"/>
        </w:rPr>
        <w:t xml:space="preserve"> policy environment</w:t>
      </w:r>
      <w:r w:rsidR="00E13A72" w:rsidRPr="00767AD3">
        <w:rPr>
          <w:bCs/>
          <w:sz w:val="20"/>
          <w:szCs w:val="20"/>
          <w:lang w:val="en-US"/>
        </w:rPr>
        <w:t xml:space="preserve"> </w:t>
      </w:r>
      <w:r w:rsidR="00EE17F6" w:rsidRPr="00767AD3">
        <w:rPr>
          <w:bCs/>
          <w:sz w:val="20"/>
          <w:szCs w:val="20"/>
          <w:lang w:val="en-US"/>
        </w:rPr>
        <w:t>or broader socio-economic policies</w:t>
      </w:r>
      <w:r w:rsidR="005D4A17" w:rsidRPr="00767AD3">
        <w:rPr>
          <w:bCs/>
          <w:sz w:val="20"/>
          <w:szCs w:val="20"/>
          <w:lang w:val="en-US"/>
        </w:rPr>
        <w:t xml:space="preserve"> using a</w:t>
      </w:r>
      <w:r w:rsidR="00EE17F6" w:rsidRPr="00767AD3">
        <w:rPr>
          <w:bCs/>
          <w:sz w:val="20"/>
          <w:szCs w:val="20"/>
          <w:lang w:val="en-US"/>
        </w:rPr>
        <w:t xml:space="preserve"> systematic approach to synthesize existing research, identify trends, and evaluate policy effectiveness.</w:t>
      </w:r>
      <w:r w:rsidR="00B75CEB" w:rsidRPr="00767AD3">
        <w:rPr>
          <w:bCs/>
          <w:sz w:val="20"/>
          <w:szCs w:val="20"/>
          <w:lang w:val="en-US"/>
        </w:rPr>
        <w:t xml:space="preserve"> The </w:t>
      </w:r>
      <w:r w:rsidR="00FB7C12" w:rsidRPr="00767AD3">
        <w:rPr>
          <w:bCs/>
          <w:sz w:val="20"/>
          <w:szCs w:val="20"/>
          <w:lang w:val="en-US"/>
        </w:rPr>
        <w:t xml:space="preserve">firm </w:t>
      </w:r>
      <w:r w:rsidR="00B75CEB" w:rsidRPr="00767AD3">
        <w:rPr>
          <w:bCs/>
          <w:sz w:val="20"/>
          <w:szCs w:val="20"/>
          <w:lang w:val="en-US"/>
        </w:rPr>
        <w:t xml:space="preserve">will </w:t>
      </w:r>
      <w:r w:rsidR="00716661" w:rsidRPr="00767AD3">
        <w:rPr>
          <w:bCs/>
          <w:sz w:val="20"/>
          <w:szCs w:val="20"/>
          <w:lang w:val="en-US"/>
        </w:rPr>
        <w:t>p</w:t>
      </w:r>
      <w:r w:rsidR="00DF7A7D" w:rsidRPr="00767AD3">
        <w:rPr>
          <w:bCs/>
          <w:sz w:val="20"/>
          <w:szCs w:val="20"/>
          <w:lang w:val="en-US"/>
        </w:rPr>
        <w:t xml:space="preserve">rioritize empirical studies </w:t>
      </w:r>
      <w:r w:rsidR="00716661" w:rsidRPr="00767AD3">
        <w:rPr>
          <w:bCs/>
          <w:sz w:val="20"/>
          <w:szCs w:val="20"/>
          <w:lang w:val="en-US"/>
        </w:rPr>
        <w:t xml:space="preserve">that include </w:t>
      </w:r>
      <w:r w:rsidR="00DF7A7D" w:rsidRPr="00767AD3">
        <w:rPr>
          <w:bCs/>
          <w:sz w:val="20"/>
          <w:szCs w:val="20"/>
          <w:lang w:val="en-US"/>
        </w:rPr>
        <w:t>surveys, econometric analyse</w:t>
      </w:r>
      <w:r w:rsidR="00D13B84" w:rsidRPr="00767AD3">
        <w:rPr>
          <w:bCs/>
          <w:sz w:val="20"/>
          <w:szCs w:val="20"/>
          <w:lang w:val="en-US"/>
        </w:rPr>
        <w:t xml:space="preserve">s including </w:t>
      </w:r>
      <w:r w:rsidR="009150F7" w:rsidRPr="00767AD3">
        <w:rPr>
          <w:bCs/>
          <w:sz w:val="20"/>
          <w:szCs w:val="20"/>
          <w:lang w:val="en-US"/>
        </w:rPr>
        <w:t>from academic databases, institution</w:t>
      </w:r>
      <w:r w:rsidR="00D13B84" w:rsidRPr="00767AD3">
        <w:rPr>
          <w:bCs/>
          <w:sz w:val="20"/>
          <w:szCs w:val="20"/>
          <w:lang w:val="en-US"/>
        </w:rPr>
        <w:t>al reports such as from</w:t>
      </w:r>
      <w:r w:rsidR="00EE17F6" w:rsidRPr="00767AD3">
        <w:rPr>
          <w:bCs/>
          <w:sz w:val="20"/>
          <w:szCs w:val="20"/>
          <w:lang w:val="en-US"/>
        </w:rPr>
        <w:t xml:space="preserve">, ILO, </w:t>
      </w:r>
      <w:r w:rsidR="00FB7C12" w:rsidRPr="00767AD3">
        <w:rPr>
          <w:bCs/>
          <w:sz w:val="20"/>
          <w:szCs w:val="20"/>
          <w:lang w:val="en-US"/>
        </w:rPr>
        <w:t xml:space="preserve">World Bank, </w:t>
      </w:r>
      <w:r w:rsidR="00EE17F6" w:rsidRPr="00767AD3">
        <w:rPr>
          <w:bCs/>
          <w:sz w:val="20"/>
          <w:szCs w:val="20"/>
          <w:lang w:val="en-US"/>
        </w:rPr>
        <w:t xml:space="preserve">UNDP, Iraqi Ministry of Labour, KRG Ministry of </w:t>
      </w:r>
      <w:proofErr w:type="gramStart"/>
      <w:r w:rsidR="00EE17F6" w:rsidRPr="00767AD3">
        <w:rPr>
          <w:bCs/>
          <w:sz w:val="20"/>
          <w:szCs w:val="20"/>
          <w:lang w:val="en-US"/>
        </w:rPr>
        <w:t>Labour</w:t>
      </w:r>
      <w:r w:rsidR="00810739" w:rsidRPr="00767AD3">
        <w:rPr>
          <w:bCs/>
          <w:sz w:val="20"/>
          <w:szCs w:val="20"/>
          <w:lang w:val="en-US"/>
        </w:rPr>
        <w:t>;</w:t>
      </w:r>
      <w:proofErr w:type="gramEnd"/>
      <w:r w:rsidR="00810739" w:rsidRPr="00767AD3">
        <w:rPr>
          <w:bCs/>
          <w:sz w:val="20"/>
          <w:szCs w:val="20"/>
          <w:lang w:val="en-US"/>
        </w:rPr>
        <w:t xml:space="preserve"> legal documents</w:t>
      </w:r>
      <w:r w:rsidR="00766F41" w:rsidRPr="00767AD3">
        <w:rPr>
          <w:bCs/>
          <w:sz w:val="20"/>
          <w:szCs w:val="20"/>
          <w:lang w:val="en-US"/>
        </w:rPr>
        <w:t xml:space="preserve"> and case studies. </w:t>
      </w:r>
      <w:r w:rsidR="00806044" w:rsidRPr="00767AD3">
        <w:rPr>
          <w:bCs/>
          <w:sz w:val="20"/>
          <w:szCs w:val="20"/>
          <w:lang w:val="en-US"/>
        </w:rPr>
        <w:t>The</w:t>
      </w:r>
      <w:r w:rsidR="00100934" w:rsidRPr="00767AD3">
        <w:rPr>
          <w:bCs/>
          <w:sz w:val="20"/>
          <w:szCs w:val="20"/>
          <w:lang w:val="en-US"/>
        </w:rPr>
        <w:t xml:space="preserve"> </w:t>
      </w:r>
      <w:r w:rsidR="00806044" w:rsidRPr="00767AD3">
        <w:rPr>
          <w:bCs/>
          <w:sz w:val="20"/>
          <w:szCs w:val="20"/>
          <w:lang w:val="en-US"/>
        </w:rPr>
        <w:t xml:space="preserve">organization should </w:t>
      </w:r>
      <w:r w:rsidR="00100934" w:rsidRPr="00767AD3">
        <w:rPr>
          <w:bCs/>
          <w:sz w:val="20"/>
          <w:szCs w:val="20"/>
          <w:lang w:val="en-US"/>
        </w:rPr>
        <w:t>provide</w:t>
      </w:r>
      <w:r w:rsidR="00806044" w:rsidRPr="00767AD3">
        <w:rPr>
          <w:bCs/>
          <w:sz w:val="20"/>
          <w:szCs w:val="20"/>
          <w:lang w:val="en-US"/>
        </w:rPr>
        <w:t xml:space="preserve"> clear </w:t>
      </w:r>
      <w:r w:rsidR="00100934" w:rsidRPr="00767AD3">
        <w:rPr>
          <w:bCs/>
          <w:sz w:val="20"/>
          <w:szCs w:val="20"/>
          <w:lang w:val="en-US"/>
        </w:rPr>
        <w:t xml:space="preserve">explanation in the inception report </w:t>
      </w:r>
      <w:r w:rsidR="00806044" w:rsidRPr="00767AD3">
        <w:rPr>
          <w:bCs/>
          <w:sz w:val="20"/>
          <w:szCs w:val="20"/>
          <w:lang w:val="en-US"/>
        </w:rPr>
        <w:t xml:space="preserve">on how the meta-analysis would be </w:t>
      </w:r>
      <w:r w:rsidR="00AB7C40" w:rsidRPr="00767AD3">
        <w:rPr>
          <w:bCs/>
          <w:sz w:val="20"/>
          <w:szCs w:val="20"/>
          <w:lang w:val="en-US"/>
        </w:rPr>
        <w:t>conducted</w:t>
      </w:r>
      <w:r w:rsidR="00806044" w:rsidRPr="00767AD3">
        <w:rPr>
          <w:bCs/>
          <w:sz w:val="20"/>
          <w:szCs w:val="20"/>
          <w:lang w:val="en-US"/>
        </w:rPr>
        <w:t xml:space="preserve"> and </w:t>
      </w:r>
      <w:r w:rsidR="00AB7C40" w:rsidRPr="00767AD3">
        <w:rPr>
          <w:bCs/>
          <w:sz w:val="20"/>
          <w:szCs w:val="20"/>
          <w:lang w:val="en-US"/>
        </w:rPr>
        <w:t>analyzed</w:t>
      </w:r>
      <w:r w:rsidR="00E2046C" w:rsidRPr="00767AD3">
        <w:rPr>
          <w:bCs/>
          <w:sz w:val="20"/>
          <w:szCs w:val="20"/>
          <w:lang w:val="en-US"/>
        </w:rPr>
        <w:t>.</w:t>
      </w:r>
      <w:r w:rsidR="00FE005C" w:rsidRPr="00767AD3">
        <w:rPr>
          <w:bCs/>
          <w:sz w:val="20"/>
          <w:szCs w:val="20"/>
          <w:lang w:val="en-US"/>
        </w:rPr>
        <w:t xml:space="preserve"> The assessment</w:t>
      </w:r>
      <w:r w:rsidR="000723C1" w:rsidRPr="00767AD3">
        <w:rPr>
          <w:bCs/>
          <w:sz w:val="20"/>
          <w:szCs w:val="20"/>
          <w:lang w:val="en-US"/>
        </w:rPr>
        <w:t>s will inform</w:t>
      </w:r>
      <w:r w:rsidR="00330BF9" w:rsidRPr="00767AD3">
        <w:rPr>
          <w:bCs/>
          <w:sz w:val="20"/>
          <w:szCs w:val="20"/>
          <w:lang w:val="en-US"/>
        </w:rPr>
        <w:t xml:space="preserve"> </w:t>
      </w:r>
      <w:r w:rsidR="00916392" w:rsidRPr="00767AD3">
        <w:rPr>
          <w:bCs/>
          <w:sz w:val="20"/>
          <w:szCs w:val="20"/>
          <w:lang w:val="en-US"/>
        </w:rPr>
        <w:t>the deliberations of an</w:t>
      </w:r>
      <w:r w:rsidR="000723C1" w:rsidRPr="00767AD3">
        <w:rPr>
          <w:bCs/>
          <w:sz w:val="20"/>
          <w:szCs w:val="20"/>
          <w:lang w:val="en-US"/>
        </w:rPr>
        <w:t xml:space="preserve"> </w:t>
      </w:r>
      <w:r w:rsidR="00330BF9" w:rsidRPr="00767AD3">
        <w:rPr>
          <w:bCs/>
          <w:sz w:val="20"/>
          <w:szCs w:val="20"/>
          <w:lang w:val="en-US"/>
        </w:rPr>
        <w:t>Inclusive Employment Platform (IEP)</w:t>
      </w:r>
      <w:r w:rsidR="00916392" w:rsidRPr="00767AD3">
        <w:rPr>
          <w:bCs/>
          <w:sz w:val="20"/>
          <w:szCs w:val="20"/>
          <w:lang w:val="en-US"/>
        </w:rPr>
        <w:t xml:space="preserve"> that will be led </w:t>
      </w:r>
      <w:r w:rsidR="00385CFB" w:rsidRPr="00767AD3">
        <w:rPr>
          <w:bCs/>
          <w:sz w:val="20"/>
          <w:szCs w:val="20"/>
          <w:lang w:val="en-US"/>
        </w:rPr>
        <w:t xml:space="preserve">by ILO. </w:t>
      </w:r>
    </w:p>
    <w:p w14:paraId="33B5C9D9" w14:textId="55981AF8" w:rsidR="00D23AF3" w:rsidRPr="005D4A17" w:rsidRDefault="00DC2627" w:rsidP="00D9323F">
      <w:pPr>
        <w:pStyle w:val="NormalBody"/>
        <w:numPr>
          <w:ilvl w:val="0"/>
          <w:numId w:val="20"/>
        </w:numPr>
        <w:rPr>
          <w:b/>
          <w:bCs/>
          <w:color w:val="1E2DBE"/>
          <w:sz w:val="20"/>
          <w:szCs w:val="20"/>
          <w:lang w:val="en-US"/>
        </w:rPr>
      </w:pPr>
      <w:r w:rsidRPr="005D4A17">
        <w:rPr>
          <w:b/>
          <w:bCs/>
          <w:color w:val="1E2DBE"/>
          <w:sz w:val="20"/>
          <w:szCs w:val="20"/>
          <w:lang w:val="en-US"/>
        </w:rPr>
        <w:t>Identify sectors with a potential to create green jobs for youth, especially young refugee and IDP women and persons with disabilities, in the targeted governorate</w:t>
      </w:r>
      <w:r w:rsidR="00D23AF3" w:rsidRPr="005D4A17">
        <w:rPr>
          <w:b/>
          <w:bCs/>
          <w:color w:val="1E2DBE"/>
          <w:sz w:val="20"/>
          <w:szCs w:val="20"/>
          <w:lang w:val="en-US"/>
        </w:rPr>
        <w:t>s</w:t>
      </w:r>
    </w:p>
    <w:p w14:paraId="016F3575" w14:textId="5911CC81" w:rsidR="004F5807" w:rsidRPr="00F45F14" w:rsidRDefault="009157E1" w:rsidP="00F775E5">
      <w:pPr>
        <w:pStyle w:val="ListBullet1"/>
        <w:numPr>
          <w:ilvl w:val="0"/>
          <w:numId w:val="0"/>
        </w:numPr>
        <w:rPr>
          <w:bCs/>
          <w:sz w:val="20"/>
          <w:szCs w:val="20"/>
          <w:lang w:val="en-US"/>
        </w:rPr>
      </w:pPr>
      <w:r w:rsidRPr="009157E1">
        <w:rPr>
          <w:bCs/>
          <w:sz w:val="20"/>
          <w:szCs w:val="20"/>
          <w:lang w:val="en-US"/>
        </w:rPr>
        <w:t>The organization will need conduct sectoral assessment to identify sectors with a potential to create decent jobs for young people, including those in marginalized situations of refugeehood and internal displacement as well as young women and youth with disabilities.</w:t>
      </w:r>
      <w:r w:rsidR="00B24645">
        <w:rPr>
          <w:bCs/>
          <w:sz w:val="20"/>
          <w:szCs w:val="20"/>
          <w:lang w:val="en-US"/>
        </w:rPr>
        <w:t xml:space="preserve"> </w:t>
      </w:r>
      <w:r w:rsidR="00DF2807">
        <w:rPr>
          <w:bCs/>
          <w:sz w:val="20"/>
          <w:szCs w:val="20"/>
          <w:lang w:val="en-US"/>
        </w:rPr>
        <w:t xml:space="preserve">The firm </w:t>
      </w:r>
      <w:r w:rsidR="003F5EEB">
        <w:rPr>
          <w:bCs/>
          <w:sz w:val="20"/>
          <w:szCs w:val="20"/>
          <w:lang w:val="en-US"/>
        </w:rPr>
        <w:t xml:space="preserve">will select </w:t>
      </w:r>
      <w:r w:rsidR="003F5EEB" w:rsidRPr="003F5EEB">
        <w:rPr>
          <w:bCs/>
          <w:sz w:val="20"/>
          <w:szCs w:val="20"/>
          <w:lang w:val="en-US"/>
        </w:rPr>
        <w:t xml:space="preserve">green sectors </w:t>
      </w:r>
      <w:r w:rsidR="00F34025">
        <w:rPr>
          <w:bCs/>
          <w:sz w:val="20"/>
          <w:szCs w:val="20"/>
          <w:lang w:val="en-US"/>
        </w:rPr>
        <w:t xml:space="preserve">including </w:t>
      </w:r>
      <w:r w:rsidR="007F6DD8">
        <w:rPr>
          <w:bCs/>
          <w:sz w:val="20"/>
          <w:szCs w:val="20"/>
          <w:lang w:val="en-US"/>
        </w:rPr>
        <w:t>such</w:t>
      </w:r>
      <w:r w:rsidR="00575FCE">
        <w:rPr>
          <w:bCs/>
          <w:sz w:val="20"/>
          <w:szCs w:val="20"/>
          <w:lang w:val="en-US"/>
        </w:rPr>
        <w:t xml:space="preserve"> sectors</w:t>
      </w:r>
      <w:r w:rsidR="007F6DD8">
        <w:rPr>
          <w:bCs/>
          <w:sz w:val="20"/>
          <w:szCs w:val="20"/>
          <w:lang w:val="en-US"/>
        </w:rPr>
        <w:t xml:space="preserve"> as renewable</w:t>
      </w:r>
      <w:r w:rsidR="002D1FF0">
        <w:rPr>
          <w:bCs/>
          <w:sz w:val="20"/>
          <w:szCs w:val="20"/>
          <w:lang w:val="en-US"/>
        </w:rPr>
        <w:t>, sustainable agriculture and agroforestry, waste management</w:t>
      </w:r>
      <w:r w:rsidR="00575FCE">
        <w:rPr>
          <w:bCs/>
          <w:sz w:val="20"/>
          <w:szCs w:val="20"/>
          <w:lang w:val="en-US"/>
        </w:rPr>
        <w:t xml:space="preserve"> and recycling, eco-tourism, water conservation and management among others</w:t>
      </w:r>
      <w:r w:rsidR="004E2CA4" w:rsidRPr="004E2CA4">
        <w:rPr>
          <w:bCs/>
          <w:sz w:val="20"/>
          <w:szCs w:val="20"/>
          <w:lang w:val="en-US"/>
        </w:rPr>
        <w:t xml:space="preserve"> </w:t>
      </w:r>
      <w:r w:rsidR="004E2CA4" w:rsidRPr="003F5EEB">
        <w:rPr>
          <w:bCs/>
          <w:sz w:val="20"/>
          <w:szCs w:val="20"/>
          <w:lang w:val="en-US"/>
        </w:rPr>
        <w:t>that are most likely to create jobs for refugees, IDPs, and youth</w:t>
      </w:r>
      <w:r w:rsidR="00096FF0">
        <w:rPr>
          <w:bCs/>
          <w:sz w:val="20"/>
          <w:szCs w:val="20"/>
          <w:lang w:val="en-US"/>
        </w:rPr>
        <w:t>s</w:t>
      </w:r>
      <w:r w:rsidR="00575FCE">
        <w:rPr>
          <w:bCs/>
          <w:sz w:val="20"/>
          <w:szCs w:val="20"/>
          <w:lang w:val="en-US"/>
        </w:rPr>
        <w:t>.</w:t>
      </w:r>
      <w:r w:rsidR="008C16A7">
        <w:rPr>
          <w:bCs/>
          <w:sz w:val="20"/>
          <w:szCs w:val="20"/>
          <w:lang w:val="en-US"/>
        </w:rPr>
        <w:t xml:space="preserve"> The ultimate selection of sectors would be determined </w:t>
      </w:r>
      <w:r w:rsidR="009B4598">
        <w:rPr>
          <w:bCs/>
          <w:sz w:val="20"/>
          <w:szCs w:val="20"/>
          <w:lang w:val="en-US"/>
        </w:rPr>
        <w:t xml:space="preserve">by </w:t>
      </w:r>
      <w:r w:rsidR="005D573A">
        <w:rPr>
          <w:bCs/>
          <w:sz w:val="20"/>
          <w:szCs w:val="20"/>
          <w:lang w:val="en-US"/>
        </w:rPr>
        <w:t>availability of such businesses in Iraq</w:t>
      </w:r>
      <w:r w:rsidR="00A902E3">
        <w:rPr>
          <w:bCs/>
          <w:sz w:val="20"/>
          <w:szCs w:val="20"/>
          <w:lang w:val="en-US"/>
        </w:rPr>
        <w:t xml:space="preserve"> and skills anticipation</w:t>
      </w:r>
      <w:r w:rsidR="00F775E5">
        <w:rPr>
          <w:bCs/>
          <w:sz w:val="20"/>
          <w:szCs w:val="20"/>
          <w:lang w:val="en-US"/>
        </w:rPr>
        <w:t>.</w:t>
      </w:r>
    </w:p>
    <w:p w14:paraId="6CCF88BD" w14:textId="77777777" w:rsidR="00166600" w:rsidRPr="005D4A17" w:rsidRDefault="00166600" w:rsidP="00166600">
      <w:pPr>
        <w:pStyle w:val="NormalBody"/>
        <w:numPr>
          <w:ilvl w:val="0"/>
          <w:numId w:val="20"/>
        </w:numPr>
        <w:rPr>
          <w:b/>
          <w:bCs/>
          <w:color w:val="1E2DBE"/>
          <w:sz w:val="20"/>
          <w:szCs w:val="20"/>
          <w:lang w:val="en-US"/>
        </w:rPr>
      </w:pPr>
      <w:bookmarkStart w:id="0" w:name="_Hlk195102301"/>
      <w:r w:rsidRPr="005D4A17">
        <w:rPr>
          <w:b/>
          <w:bCs/>
          <w:color w:val="1E2DBE"/>
          <w:sz w:val="20"/>
          <w:szCs w:val="20"/>
          <w:lang w:val="en-US"/>
        </w:rPr>
        <w:t>Conduct labour market situation analysis and green employment diagnostics</w:t>
      </w:r>
    </w:p>
    <w:bookmarkEnd w:id="0"/>
    <w:p w14:paraId="55707979" w14:textId="77777777" w:rsidR="00DB4F7E" w:rsidRDefault="00F13652" w:rsidP="0054121A">
      <w:pPr>
        <w:pStyle w:val="NormalBody"/>
        <w:rPr>
          <w:bCs/>
          <w:sz w:val="20"/>
          <w:szCs w:val="20"/>
          <w:lang w:val="en-US"/>
        </w:rPr>
      </w:pPr>
      <w:r w:rsidRPr="00F13652">
        <w:rPr>
          <w:bCs/>
          <w:sz w:val="20"/>
          <w:szCs w:val="20"/>
          <w:lang w:val="en-US"/>
        </w:rPr>
        <w:t xml:space="preserve">The project will conduct comprehensive labour market and employment diagnostics and evaluate demand- and supply-side constraints and opportunities. It will also look at local and nation-wide economic multipliers of productive inclusion of refugees and IDPs in the local labour market and assess </w:t>
      </w:r>
      <w:r w:rsidRPr="00F13652">
        <w:rPr>
          <w:bCs/>
          <w:sz w:val="20"/>
          <w:szCs w:val="20"/>
          <w:lang w:val="en-US"/>
        </w:rPr>
        <w:lastRenderedPageBreak/>
        <w:t xml:space="preserve">the cost of inaction. </w:t>
      </w:r>
      <w:r w:rsidR="00166600">
        <w:rPr>
          <w:bCs/>
          <w:sz w:val="20"/>
          <w:szCs w:val="20"/>
          <w:lang w:val="en-US"/>
        </w:rPr>
        <w:t>The consulting firm will conduct c</w:t>
      </w:r>
      <w:r w:rsidR="00166600" w:rsidRPr="00DD3D1D">
        <w:rPr>
          <w:bCs/>
          <w:sz w:val="20"/>
          <w:szCs w:val="20"/>
          <w:lang w:val="en-US"/>
        </w:rPr>
        <w:t>omprehensive labour market and employment diagnostics</w:t>
      </w:r>
      <w:r w:rsidR="00166600">
        <w:rPr>
          <w:bCs/>
          <w:sz w:val="20"/>
          <w:szCs w:val="20"/>
          <w:lang w:val="en-US"/>
        </w:rPr>
        <w:t xml:space="preserve"> in selected green sectors</w:t>
      </w:r>
      <w:r w:rsidR="00166600" w:rsidRPr="00DD3D1D">
        <w:rPr>
          <w:bCs/>
          <w:sz w:val="20"/>
          <w:szCs w:val="20"/>
          <w:lang w:val="en-US"/>
        </w:rPr>
        <w:t xml:space="preserve"> </w:t>
      </w:r>
      <w:r w:rsidR="003C1A03">
        <w:rPr>
          <w:bCs/>
          <w:sz w:val="20"/>
          <w:szCs w:val="20"/>
          <w:lang w:val="en-US"/>
        </w:rPr>
        <w:t xml:space="preserve">from 2 above </w:t>
      </w:r>
      <w:r w:rsidR="00166600" w:rsidRPr="00DD3D1D">
        <w:rPr>
          <w:bCs/>
          <w:sz w:val="20"/>
          <w:szCs w:val="20"/>
          <w:lang w:val="en-US"/>
        </w:rPr>
        <w:t xml:space="preserve">and evaluating demand- and supply-side </w:t>
      </w:r>
      <w:r w:rsidR="00FB7C12">
        <w:rPr>
          <w:bCs/>
          <w:sz w:val="20"/>
          <w:szCs w:val="20"/>
          <w:lang w:val="en-US"/>
        </w:rPr>
        <w:t xml:space="preserve">and labour market intermediation </w:t>
      </w:r>
      <w:r w:rsidR="00166600" w:rsidRPr="00DD3D1D">
        <w:rPr>
          <w:bCs/>
          <w:sz w:val="20"/>
          <w:szCs w:val="20"/>
          <w:lang w:val="en-US"/>
        </w:rPr>
        <w:t xml:space="preserve">constraints and opportunities. </w:t>
      </w:r>
      <w:r w:rsidR="00166600">
        <w:rPr>
          <w:bCs/>
          <w:sz w:val="20"/>
          <w:szCs w:val="20"/>
          <w:lang w:val="en-US"/>
        </w:rPr>
        <w:t xml:space="preserve">In addition, they </w:t>
      </w:r>
      <w:r w:rsidR="00166600" w:rsidRPr="00DD3D1D">
        <w:rPr>
          <w:bCs/>
          <w:sz w:val="20"/>
          <w:szCs w:val="20"/>
          <w:lang w:val="en-US"/>
        </w:rPr>
        <w:t xml:space="preserve">will look at local and nation-wide economic multipliers </w:t>
      </w:r>
      <w:r w:rsidR="00166600">
        <w:rPr>
          <w:bCs/>
          <w:sz w:val="20"/>
          <w:szCs w:val="20"/>
          <w:lang w:val="en-US"/>
        </w:rPr>
        <w:t xml:space="preserve">for </w:t>
      </w:r>
      <w:r w:rsidR="00166600" w:rsidRPr="00DD3D1D">
        <w:rPr>
          <w:bCs/>
          <w:sz w:val="20"/>
          <w:szCs w:val="20"/>
          <w:lang w:val="en-US"/>
        </w:rPr>
        <w:t>productive inclusion of refugees and IDPs in the local labour market and assess the cost of inaction. Evidence-based demand- and supply- side</w:t>
      </w:r>
      <w:r w:rsidR="00FB7C12">
        <w:rPr>
          <w:bCs/>
          <w:sz w:val="20"/>
          <w:szCs w:val="20"/>
          <w:lang w:val="en-US"/>
        </w:rPr>
        <w:t xml:space="preserve"> and labour market intermediation</w:t>
      </w:r>
      <w:r w:rsidR="00166600" w:rsidRPr="00DD3D1D">
        <w:rPr>
          <w:bCs/>
          <w:sz w:val="20"/>
          <w:szCs w:val="20"/>
          <w:lang w:val="en-US"/>
        </w:rPr>
        <w:t xml:space="preserve"> policy options will be offered to steer policy dialogue on youth employment, including young refugees and IDP, with a particular focus on young women and persons with disabilities.</w:t>
      </w:r>
      <w:r w:rsidR="00AA77B1">
        <w:rPr>
          <w:bCs/>
          <w:sz w:val="20"/>
          <w:szCs w:val="20"/>
          <w:lang w:val="en-US"/>
        </w:rPr>
        <w:t xml:space="preserve"> </w:t>
      </w:r>
      <w:r w:rsidR="00477349">
        <w:rPr>
          <w:bCs/>
          <w:sz w:val="20"/>
          <w:szCs w:val="20"/>
          <w:lang w:val="en-US"/>
        </w:rPr>
        <w:t>The diagnostics will also be guided by the ILO.</w:t>
      </w:r>
      <w:r w:rsidR="00452B15">
        <w:rPr>
          <w:bCs/>
          <w:sz w:val="20"/>
          <w:szCs w:val="20"/>
          <w:lang w:val="en-US"/>
        </w:rPr>
        <w:t xml:space="preserve"> Guidelines</w:t>
      </w:r>
      <w:r w:rsidR="00AA2A8C">
        <w:rPr>
          <w:bCs/>
          <w:sz w:val="20"/>
          <w:szCs w:val="20"/>
          <w:lang w:val="en-US"/>
        </w:rPr>
        <w:t xml:space="preserve"> on</w:t>
      </w:r>
      <w:r w:rsidR="00477349" w:rsidRPr="00477349">
        <w:t xml:space="preserve"> </w:t>
      </w:r>
      <w:r w:rsidR="00477349" w:rsidRPr="00477349">
        <w:rPr>
          <w:bCs/>
          <w:sz w:val="20"/>
          <w:szCs w:val="20"/>
          <w:lang w:val="en-US"/>
        </w:rPr>
        <w:t xml:space="preserve">Green Employment Diagnostics for Just Transitions </w:t>
      </w:r>
      <w:r w:rsidR="00AA77B1">
        <w:rPr>
          <w:bCs/>
          <w:sz w:val="20"/>
          <w:szCs w:val="20"/>
          <w:lang w:val="en-US"/>
        </w:rPr>
        <w:t xml:space="preserve">The knowledge documents </w:t>
      </w:r>
      <w:r w:rsidR="00B53F98">
        <w:rPr>
          <w:bCs/>
          <w:sz w:val="20"/>
          <w:szCs w:val="20"/>
          <w:lang w:val="en-US"/>
        </w:rPr>
        <w:t xml:space="preserve">produced as part of these assessments will also be </w:t>
      </w:r>
      <w:r w:rsidR="00E3589D">
        <w:rPr>
          <w:bCs/>
          <w:sz w:val="20"/>
          <w:szCs w:val="20"/>
          <w:lang w:val="en-US"/>
        </w:rPr>
        <w:t xml:space="preserve">presented in the IEP. </w:t>
      </w:r>
    </w:p>
    <w:p w14:paraId="6FD244A9" w14:textId="77777777" w:rsidR="00D9323F" w:rsidRDefault="00D9323F" w:rsidP="0054121A">
      <w:pPr>
        <w:pStyle w:val="NormalBody"/>
        <w:rPr>
          <w:b/>
          <w:bCs/>
          <w:color w:val="1E2DBE"/>
          <w:sz w:val="20"/>
          <w:szCs w:val="20"/>
          <w:lang w:val="en-US"/>
        </w:rPr>
      </w:pPr>
    </w:p>
    <w:p w14:paraId="7755A70C" w14:textId="521AF914" w:rsidR="00155354" w:rsidRPr="00155354" w:rsidRDefault="00DE6ECE" w:rsidP="00D9323F">
      <w:pPr>
        <w:pStyle w:val="NormalBody"/>
        <w:numPr>
          <w:ilvl w:val="0"/>
          <w:numId w:val="20"/>
        </w:numPr>
        <w:rPr>
          <w:b/>
          <w:bCs/>
          <w:color w:val="1E2DBE"/>
          <w:sz w:val="20"/>
          <w:szCs w:val="20"/>
          <w:lang w:val="en-US"/>
        </w:rPr>
      </w:pPr>
      <w:r w:rsidRPr="005D4A17">
        <w:rPr>
          <w:b/>
          <w:bCs/>
          <w:color w:val="1E2DBE"/>
          <w:sz w:val="20"/>
          <w:szCs w:val="20"/>
          <w:lang w:val="en-US"/>
        </w:rPr>
        <w:t>Conduct series of national and subnational consultative workshops on key challenges and opportunities for employment for refugees and IDPs.</w:t>
      </w:r>
    </w:p>
    <w:p w14:paraId="7AE7DFE9" w14:textId="1BE52C81" w:rsidR="00155354" w:rsidRDefault="004D4849" w:rsidP="0054121A">
      <w:pPr>
        <w:pStyle w:val="ListBullet1"/>
        <w:numPr>
          <w:ilvl w:val="0"/>
          <w:numId w:val="0"/>
        </w:numPr>
        <w:ind w:left="227" w:hanging="227"/>
        <w:jc w:val="both"/>
        <w:rPr>
          <w:bCs/>
          <w:sz w:val="20"/>
          <w:szCs w:val="20"/>
          <w:lang w:val="en-US"/>
        </w:rPr>
      </w:pPr>
      <w:r>
        <w:rPr>
          <w:bCs/>
          <w:sz w:val="20"/>
          <w:szCs w:val="20"/>
          <w:lang w:val="en-US"/>
        </w:rPr>
        <w:t xml:space="preserve">As part of their field work, the </w:t>
      </w:r>
      <w:r w:rsidR="007D0628">
        <w:rPr>
          <w:bCs/>
          <w:sz w:val="20"/>
          <w:szCs w:val="20"/>
          <w:lang w:val="en-US"/>
        </w:rPr>
        <w:t>organization is expected to conduct consultative workshops an</w:t>
      </w:r>
      <w:r w:rsidR="00811688">
        <w:rPr>
          <w:bCs/>
          <w:sz w:val="20"/>
          <w:szCs w:val="20"/>
          <w:lang w:val="en-US"/>
        </w:rPr>
        <w:t xml:space="preserve">d </w:t>
      </w:r>
      <w:r w:rsidR="007D0628">
        <w:rPr>
          <w:bCs/>
          <w:sz w:val="20"/>
          <w:szCs w:val="20"/>
          <w:lang w:val="en-US"/>
        </w:rPr>
        <w:t>meeting</w:t>
      </w:r>
      <w:r w:rsidR="00DE473D">
        <w:rPr>
          <w:bCs/>
          <w:sz w:val="20"/>
          <w:szCs w:val="20"/>
          <w:lang w:val="en-US"/>
        </w:rPr>
        <w:t>s at national and subnational level as follows:</w:t>
      </w:r>
    </w:p>
    <w:p w14:paraId="5E068886" w14:textId="2AEE9EDC" w:rsidR="00CE5936" w:rsidRDefault="00E3589D" w:rsidP="0054121A">
      <w:pPr>
        <w:pStyle w:val="ListBullet1"/>
        <w:jc w:val="both"/>
        <w:rPr>
          <w:bCs/>
          <w:sz w:val="20"/>
          <w:szCs w:val="20"/>
          <w:lang w:val="en-US"/>
        </w:rPr>
      </w:pPr>
      <w:r>
        <w:rPr>
          <w:bCs/>
          <w:sz w:val="20"/>
          <w:szCs w:val="20"/>
          <w:lang w:val="en-US"/>
        </w:rPr>
        <w:t>C</w:t>
      </w:r>
      <w:r w:rsidR="00F207B7" w:rsidRPr="00F207B7">
        <w:rPr>
          <w:bCs/>
          <w:sz w:val="20"/>
          <w:szCs w:val="20"/>
          <w:lang w:val="en-US"/>
        </w:rPr>
        <w:t>onduct</w:t>
      </w:r>
      <w:r w:rsidR="00A6308F">
        <w:rPr>
          <w:bCs/>
          <w:sz w:val="20"/>
          <w:szCs w:val="20"/>
          <w:lang w:val="en-US"/>
        </w:rPr>
        <w:t xml:space="preserve"> at least </w:t>
      </w:r>
      <w:r w:rsidR="00237512">
        <w:rPr>
          <w:bCs/>
          <w:sz w:val="20"/>
          <w:szCs w:val="20"/>
          <w:lang w:val="en-US"/>
        </w:rPr>
        <w:t>five</w:t>
      </w:r>
      <w:r w:rsidR="00A6308F">
        <w:rPr>
          <w:bCs/>
          <w:sz w:val="20"/>
          <w:szCs w:val="20"/>
          <w:lang w:val="en-US"/>
        </w:rPr>
        <w:t xml:space="preserve"> (</w:t>
      </w:r>
      <w:r w:rsidR="00237512">
        <w:rPr>
          <w:bCs/>
          <w:sz w:val="20"/>
          <w:szCs w:val="20"/>
          <w:lang w:val="en-US"/>
        </w:rPr>
        <w:t>5</w:t>
      </w:r>
      <w:r w:rsidR="00A6308F">
        <w:rPr>
          <w:bCs/>
          <w:sz w:val="20"/>
          <w:szCs w:val="20"/>
          <w:lang w:val="en-US"/>
        </w:rPr>
        <w:t>)</w:t>
      </w:r>
      <w:r w:rsidR="00A6308F" w:rsidRPr="00A6308F">
        <w:rPr>
          <w:bCs/>
          <w:sz w:val="20"/>
          <w:szCs w:val="20"/>
          <w:lang w:val="en-US"/>
        </w:rPr>
        <w:t xml:space="preserve"> </w:t>
      </w:r>
      <w:r w:rsidR="00AD5CD7">
        <w:rPr>
          <w:bCs/>
          <w:sz w:val="20"/>
          <w:szCs w:val="20"/>
          <w:lang w:val="en-US"/>
        </w:rPr>
        <w:t xml:space="preserve">Tripartite plus </w:t>
      </w:r>
      <w:r w:rsidR="007232AC">
        <w:rPr>
          <w:bCs/>
          <w:sz w:val="20"/>
          <w:szCs w:val="20"/>
          <w:lang w:val="en-US"/>
        </w:rPr>
        <w:t xml:space="preserve">consultative </w:t>
      </w:r>
      <w:r w:rsidR="00A6308F" w:rsidRPr="00A6308F">
        <w:rPr>
          <w:bCs/>
          <w:sz w:val="20"/>
          <w:szCs w:val="20"/>
          <w:lang w:val="en-US"/>
        </w:rPr>
        <w:t xml:space="preserve">meetings </w:t>
      </w:r>
      <w:r w:rsidR="00A6308F">
        <w:rPr>
          <w:bCs/>
          <w:sz w:val="20"/>
          <w:szCs w:val="20"/>
          <w:lang w:val="en-US"/>
        </w:rPr>
        <w:t>at the</w:t>
      </w:r>
      <w:r w:rsidR="00F207B7" w:rsidRPr="00F207B7">
        <w:rPr>
          <w:bCs/>
          <w:sz w:val="20"/>
          <w:szCs w:val="20"/>
          <w:lang w:val="en-US"/>
        </w:rPr>
        <w:t xml:space="preserve"> national </w:t>
      </w:r>
      <w:r w:rsidR="00007BEB">
        <w:rPr>
          <w:bCs/>
          <w:sz w:val="20"/>
          <w:szCs w:val="20"/>
          <w:lang w:val="en-US"/>
        </w:rPr>
        <w:t xml:space="preserve">level </w:t>
      </w:r>
      <w:r w:rsidR="00F207B7" w:rsidRPr="00F207B7">
        <w:rPr>
          <w:bCs/>
          <w:sz w:val="20"/>
          <w:szCs w:val="20"/>
          <w:lang w:val="en-US"/>
        </w:rPr>
        <w:t xml:space="preserve">and </w:t>
      </w:r>
      <w:r w:rsidR="00841645">
        <w:rPr>
          <w:bCs/>
          <w:sz w:val="20"/>
          <w:szCs w:val="20"/>
          <w:lang w:val="en-US"/>
        </w:rPr>
        <w:t xml:space="preserve">in </w:t>
      </w:r>
      <w:r w:rsidR="004C6ACB">
        <w:rPr>
          <w:bCs/>
          <w:sz w:val="20"/>
          <w:szCs w:val="20"/>
          <w:lang w:val="en-US"/>
        </w:rPr>
        <w:t xml:space="preserve">Erbil, Ninawa, Duhok and </w:t>
      </w:r>
      <w:r w:rsidR="00AF6C9E" w:rsidRPr="00AF6C9E">
        <w:rPr>
          <w:bCs/>
          <w:sz w:val="20"/>
          <w:szCs w:val="20"/>
          <w:lang w:val="en-US"/>
        </w:rPr>
        <w:t>Sulaymaniyah</w:t>
      </w:r>
      <w:r w:rsidR="004C6ACB">
        <w:rPr>
          <w:bCs/>
          <w:sz w:val="20"/>
          <w:szCs w:val="20"/>
          <w:lang w:val="en-US"/>
        </w:rPr>
        <w:t xml:space="preserve"> governorates</w:t>
      </w:r>
      <w:r w:rsidR="00CE5936">
        <w:rPr>
          <w:bCs/>
          <w:sz w:val="20"/>
          <w:szCs w:val="20"/>
          <w:lang w:val="en-US"/>
        </w:rPr>
        <w:t xml:space="preserve"> </w:t>
      </w:r>
      <w:r w:rsidR="004F2C4E">
        <w:rPr>
          <w:bCs/>
          <w:sz w:val="20"/>
          <w:szCs w:val="20"/>
          <w:lang w:val="en-US"/>
        </w:rPr>
        <w:t>to identify the challenges and opportunities for employment for refugees and IDPs including youths and women</w:t>
      </w:r>
      <w:r w:rsidR="006F7E9A">
        <w:rPr>
          <w:bCs/>
          <w:sz w:val="20"/>
          <w:szCs w:val="20"/>
          <w:lang w:val="en-US"/>
        </w:rPr>
        <w:t>.</w:t>
      </w:r>
      <w:r w:rsidR="007A5788">
        <w:rPr>
          <w:bCs/>
          <w:sz w:val="20"/>
          <w:szCs w:val="20"/>
          <w:lang w:val="en-US"/>
        </w:rPr>
        <w:t xml:space="preserve"> It is important draw meeting/ workshop participants from </w:t>
      </w:r>
      <w:r w:rsidR="00237512" w:rsidRPr="00237512">
        <w:rPr>
          <w:bCs/>
          <w:sz w:val="20"/>
          <w:szCs w:val="20"/>
          <w:lang w:val="en-US"/>
        </w:rPr>
        <w:t xml:space="preserve">relevant stakeholders that include- relevant government ministries and departments which include </w:t>
      </w:r>
      <w:r w:rsidR="007A5788" w:rsidRPr="00237512">
        <w:rPr>
          <w:bCs/>
          <w:sz w:val="20"/>
          <w:szCs w:val="20"/>
          <w:lang w:val="en-US"/>
        </w:rPr>
        <w:t>M</w:t>
      </w:r>
      <w:r w:rsidR="007A5788">
        <w:rPr>
          <w:bCs/>
          <w:sz w:val="20"/>
          <w:szCs w:val="20"/>
          <w:lang w:val="en-US"/>
        </w:rPr>
        <w:t>inistries of Youth (MoY), Planning (MoP), Labour and Social Affairs (</w:t>
      </w:r>
      <w:r w:rsidR="00416960">
        <w:rPr>
          <w:bCs/>
          <w:sz w:val="20"/>
          <w:szCs w:val="20"/>
          <w:lang w:val="en-US"/>
        </w:rPr>
        <w:t xml:space="preserve">MoLSA); </w:t>
      </w:r>
      <w:r w:rsidR="00237512" w:rsidRPr="00237512">
        <w:rPr>
          <w:bCs/>
          <w:sz w:val="20"/>
          <w:szCs w:val="20"/>
          <w:lang w:val="en-US"/>
        </w:rPr>
        <w:t>organizations that work with refugees and forcibly displaced persons, employer organization chapters e.g. Erbil Chamber of Commerce and Industries, Trade union chapters</w:t>
      </w:r>
      <w:r w:rsidR="00FB7C12">
        <w:rPr>
          <w:bCs/>
          <w:sz w:val="20"/>
          <w:szCs w:val="20"/>
          <w:lang w:val="en-US"/>
        </w:rPr>
        <w:t>,</w:t>
      </w:r>
      <w:r w:rsidR="00237512" w:rsidRPr="00237512">
        <w:rPr>
          <w:bCs/>
          <w:sz w:val="20"/>
          <w:szCs w:val="20"/>
          <w:lang w:val="en-US"/>
        </w:rPr>
        <w:t xml:space="preserve"> </w:t>
      </w:r>
      <w:r w:rsidR="005D1038">
        <w:rPr>
          <w:bCs/>
          <w:sz w:val="20"/>
          <w:szCs w:val="20"/>
          <w:lang w:val="en-US"/>
        </w:rPr>
        <w:t xml:space="preserve">TVET, </w:t>
      </w:r>
      <w:r w:rsidR="00237512" w:rsidRPr="00237512">
        <w:rPr>
          <w:bCs/>
          <w:sz w:val="20"/>
          <w:szCs w:val="20"/>
          <w:lang w:val="en-US"/>
        </w:rPr>
        <w:t>and other organizations that represent the target group</w:t>
      </w:r>
      <w:r>
        <w:rPr>
          <w:bCs/>
          <w:sz w:val="20"/>
          <w:szCs w:val="20"/>
          <w:lang w:val="en-US"/>
        </w:rPr>
        <w:t xml:space="preserve">. The consultative </w:t>
      </w:r>
      <w:r w:rsidR="00EB7B33">
        <w:rPr>
          <w:bCs/>
          <w:sz w:val="20"/>
          <w:szCs w:val="20"/>
          <w:lang w:val="en-US"/>
        </w:rPr>
        <w:t xml:space="preserve">meetings will form part of the </w:t>
      </w:r>
      <w:r w:rsidR="00154EF7">
        <w:rPr>
          <w:bCs/>
          <w:sz w:val="20"/>
          <w:szCs w:val="20"/>
          <w:lang w:val="en-US"/>
        </w:rPr>
        <w:t>field work in conducting the labour market analysis and diagnostics</w:t>
      </w:r>
      <w:r w:rsidR="0067139A">
        <w:rPr>
          <w:bCs/>
          <w:sz w:val="20"/>
          <w:szCs w:val="20"/>
          <w:lang w:val="en-US"/>
        </w:rPr>
        <w:t>.</w:t>
      </w:r>
    </w:p>
    <w:p w14:paraId="6954152F" w14:textId="2DEC02F5" w:rsidR="00CF30DB" w:rsidRDefault="00CF30DB" w:rsidP="00237512">
      <w:pPr>
        <w:pStyle w:val="ListBullet1"/>
        <w:numPr>
          <w:ilvl w:val="0"/>
          <w:numId w:val="0"/>
        </w:numPr>
        <w:ind w:left="567" w:hanging="227"/>
        <w:rPr>
          <w:bCs/>
          <w:sz w:val="20"/>
          <w:szCs w:val="20"/>
          <w:lang w:val="en-US"/>
        </w:rPr>
      </w:pPr>
    </w:p>
    <w:p w14:paraId="4548FBB5" w14:textId="5568571C" w:rsidR="001F71E8" w:rsidRPr="005D4A17" w:rsidRDefault="00DE6ECE" w:rsidP="00DE6ECE">
      <w:pPr>
        <w:pStyle w:val="NormalBody"/>
        <w:numPr>
          <w:ilvl w:val="0"/>
          <w:numId w:val="20"/>
        </w:numPr>
        <w:rPr>
          <w:b/>
          <w:bCs/>
          <w:color w:val="1E2DBE"/>
          <w:sz w:val="20"/>
          <w:szCs w:val="20"/>
          <w:lang w:val="en-US"/>
        </w:rPr>
      </w:pPr>
      <w:bookmarkStart w:id="1" w:name="_Hlk194514621"/>
      <w:r w:rsidRPr="005D4A17">
        <w:rPr>
          <w:b/>
          <w:bCs/>
          <w:color w:val="1E2DBE"/>
          <w:sz w:val="20"/>
          <w:szCs w:val="20"/>
          <w:lang w:val="en-US"/>
        </w:rPr>
        <w:t xml:space="preserve">Develop modelling estimates on </w:t>
      </w:r>
      <w:bookmarkEnd w:id="1"/>
      <w:r w:rsidRPr="005D4A17">
        <w:rPr>
          <w:b/>
          <w:bCs/>
          <w:color w:val="1E2DBE"/>
          <w:sz w:val="20"/>
          <w:szCs w:val="20"/>
          <w:lang w:val="en-US"/>
        </w:rPr>
        <w:t>the potential of creating decent jobs for refugees, IDPs and youth through targeted investments in the identified green sectors.</w:t>
      </w:r>
    </w:p>
    <w:p w14:paraId="5C496F2F" w14:textId="6FEEBDA5" w:rsidR="00563B96" w:rsidRDefault="00046C0C" w:rsidP="00151623">
      <w:pPr>
        <w:pStyle w:val="NormalBody"/>
        <w:rPr>
          <w:bCs/>
          <w:sz w:val="20"/>
          <w:szCs w:val="20"/>
          <w:lang w:val="en-US"/>
        </w:rPr>
      </w:pPr>
      <w:r w:rsidRPr="00046C0C">
        <w:rPr>
          <w:bCs/>
          <w:sz w:val="20"/>
          <w:szCs w:val="20"/>
          <w:lang w:val="en-US"/>
        </w:rPr>
        <w:t xml:space="preserve">The assessments may </w:t>
      </w:r>
      <w:r w:rsidR="0067139A">
        <w:rPr>
          <w:bCs/>
          <w:sz w:val="20"/>
          <w:szCs w:val="20"/>
          <w:lang w:val="en-US"/>
        </w:rPr>
        <w:t xml:space="preserve">will </w:t>
      </w:r>
      <w:r w:rsidRPr="00046C0C">
        <w:rPr>
          <w:bCs/>
          <w:sz w:val="20"/>
          <w:szCs w:val="20"/>
          <w:lang w:val="en-US"/>
        </w:rPr>
        <w:t xml:space="preserve">provide modelling estimates on the potential of creating decent jobs for youth through targeted investments in the identified sectors. Evidence-based demand- and supply- side </w:t>
      </w:r>
      <w:r w:rsidR="002D7D5B">
        <w:rPr>
          <w:bCs/>
          <w:sz w:val="20"/>
          <w:szCs w:val="20"/>
          <w:lang w:val="en-US"/>
        </w:rPr>
        <w:t xml:space="preserve">and labour market intermediation </w:t>
      </w:r>
      <w:r w:rsidRPr="00046C0C">
        <w:rPr>
          <w:bCs/>
          <w:sz w:val="20"/>
          <w:szCs w:val="20"/>
          <w:lang w:val="en-US"/>
        </w:rPr>
        <w:t>policy options will be offered to steer policy dialogue on youth employment, including young refugees and IDP, with a particular focus on young women and persons with disabilities.</w:t>
      </w:r>
      <w:r w:rsidR="0067139A">
        <w:rPr>
          <w:bCs/>
          <w:sz w:val="20"/>
          <w:szCs w:val="20"/>
          <w:lang w:val="en-US"/>
        </w:rPr>
        <w:t xml:space="preserve"> </w:t>
      </w:r>
      <w:r w:rsidR="007B763C">
        <w:rPr>
          <w:bCs/>
          <w:sz w:val="20"/>
          <w:szCs w:val="20"/>
          <w:lang w:val="en-US"/>
        </w:rPr>
        <w:t>T</w:t>
      </w:r>
      <w:r w:rsidR="00262B92">
        <w:rPr>
          <w:bCs/>
          <w:sz w:val="20"/>
          <w:szCs w:val="20"/>
          <w:lang w:val="en-US"/>
        </w:rPr>
        <w:t xml:space="preserve">he </w:t>
      </w:r>
      <w:r w:rsidR="004C2A3A" w:rsidRPr="004C2A3A">
        <w:rPr>
          <w:bCs/>
          <w:sz w:val="20"/>
          <w:szCs w:val="20"/>
          <w:lang w:val="en-US"/>
        </w:rPr>
        <w:t xml:space="preserve">assessments </w:t>
      </w:r>
      <w:r w:rsidR="001218D2">
        <w:rPr>
          <w:bCs/>
          <w:sz w:val="20"/>
          <w:szCs w:val="20"/>
          <w:lang w:val="en-US"/>
        </w:rPr>
        <w:t>from number 3 above wi</w:t>
      </w:r>
      <w:r w:rsidR="0041369A">
        <w:rPr>
          <w:bCs/>
          <w:sz w:val="20"/>
          <w:szCs w:val="20"/>
          <w:lang w:val="en-US"/>
        </w:rPr>
        <w:t>ll inform</w:t>
      </w:r>
      <w:r w:rsidR="004C2A3A" w:rsidRPr="004C2A3A">
        <w:rPr>
          <w:bCs/>
          <w:sz w:val="20"/>
          <w:szCs w:val="20"/>
          <w:lang w:val="en-US"/>
        </w:rPr>
        <w:t xml:space="preserve"> </w:t>
      </w:r>
      <w:r w:rsidR="00DA0AE3">
        <w:rPr>
          <w:bCs/>
          <w:sz w:val="20"/>
          <w:szCs w:val="20"/>
          <w:lang w:val="en-US"/>
        </w:rPr>
        <w:t xml:space="preserve">the development of </w:t>
      </w:r>
      <w:r w:rsidR="004C2A3A" w:rsidRPr="004C2A3A">
        <w:rPr>
          <w:bCs/>
          <w:sz w:val="20"/>
          <w:szCs w:val="20"/>
          <w:lang w:val="en-US"/>
        </w:rPr>
        <w:t xml:space="preserve">modelling estimates on the potential of creating decent jobs for youth through targeted investments in the identified sectors. </w:t>
      </w:r>
      <w:r w:rsidR="008C0D1E">
        <w:rPr>
          <w:bCs/>
          <w:sz w:val="20"/>
          <w:szCs w:val="20"/>
          <w:lang w:val="en-US"/>
        </w:rPr>
        <w:t xml:space="preserve">consulting firm </w:t>
      </w:r>
      <w:r w:rsidR="000C4ED2">
        <w:rPr>
          <w:bCs/>
          <w:sz w:val="20"/>
          <w:szCs w:val="20"/>
          <w:lang w:val="en-US"/>
        </w:rPr>
        <w:t xml:space="preserve">will build on </w:t>
      </w:r>
      <w:r w:rsidR="007B763C">
        <w:rPr>
          <w:bCs/>
          <w:sz w:val="20"/>
          <w:szCs w:val="20"/>
          <w:lang w:val="en-US"/>
        </w:rPr>
        <w:t>the data and evidence gathered in number 3 above</w:t>
      </w:r>
      <w:r w:rsidR="008C658E">
        <w:rPr>
          <w:bCs/>
          <w:sz w:val="20"/>
          <w:szCs w:val="20"/>
          <w:lang w:val="en-US"/>
        </w:rPr>
        <w:t xml:space="preserve"> to develop modeling estimates on the potential for job creation in </w:t>
      </w:r>
      <w:r w:rsidR="00AD7084">
        <w:rPr>
          <w:bCs/>
          <w:sz w:val="20"/>
          <w:szCs w:val="20"/>
          <w:lang w:val="en-US"/>
        </w:rPr>
        <w:t>selected green sectors.</w:t>
      </w:r>
      <w:r w:rsidR="00A53495">
        <w:rPr>
          <w:bCs/>
          <w:sz w:val="20"/>
          <w:szCs w:val="20"/>
          <w:lang w:val="en-US"/>
        </w:rPr>
        <w:t xml:space="preserve"> The </w:t>
      </w:r>
      <w:r w:rsidR="003515CE">
        <w:rPr>
          <w:bCs/>
          <w:sz w:val="20"/>
          <w:szCs w:val="20"/>
          <w:lang w:val="en-US"/>
        </w:rPr>
        <w:t>consultants</w:t>
      </w:r>
      <w:r w:rsidR="00A53495">
        <w:rPr>
          <w:bCs/>
          <w:sz w:val="20"/>
          <w:szCs w:val="20"/>
          <w:lang w:val="en-US"/>
        </w:rPr>
        <w:t xml:space="preserve"> would be expected to estimate job multiplier</w:t>
      </w:r>
      <w:r w:rsidR="00C648CC">
        <w:rPr>
          <w:bCs/>
          <w:sz w:val="20"/>
          <w:szCs w:val="20"/>
          <w:lang w:val="en-US"/>
        </w:rPr>
        <w:t>s for selected green sectors</w:t>
      </w:r>
      <w:r w:rsidR="00D87684">
        <w:rPr>
          <w:bCs/>
          <w:sz w:val="20"/>
          <w:szCs w:val="20"/>
          <w:lang w:val="en-US"/>
        </w:rPr>
        <w:t xml:space="preserve"> to </w:t>
      </w:r>
      <w:r w:rsidR="00151623" w:rsidRPr="00151623">
        <w:rPr>
          <w:bCs/>
          <w:sz w:val="20"/>
          <w:szCs w:val="20"/>
          <w:lang w:val="en-US"/>
        </w:rPr>
        <w:t>estimate the number of jobs created per unit of investment in a specific sector</w:t>
      </w:r>
      <w:r w:rsidR="00133AE9">
        <w:rPr>
          <w:bCs/>
          <w:sz w:val="20"/>
          <w:szCs w:val="20"/>
          <w:lang w:val="en-US"/>
        </w:rPr>
        <w:t xml:space="preserve"> which will be instrumental in developing mode</w:t>
      </w:r>
      <w:r w:rsidR="005B01FF">
        <w:rPr>
          <w:bCs/>
          <w:sz w:val="20"/>
          <w:szCs w:val="20"/>
          <w:lang w:val="en-US"/>
        </w:rPr>
        <w:t>ls.</w:t>
      </w:r>
      <w:r w:rsidR="00563B96">
        <w:rPr>
          <w:bCs/>
          <w:sz w:val="20"/>
          <w:szCs w:val="20"/>
          <w:lang w:val="en-US"/>
        </w:rPr>
        <w:t xml:space="preserve"> It will be important to note that no</w:t>
      </w:r>
      <w:r w:rsidR="00151623" w:rsidRPr="00151623">
        <w:rPr>
          <w:bCs/>
          <w:sz w:val="20"/>
          <w:szCs w:val="20"/>
          <w:lang w:val="en-US"/>
        </w:rPr>
        <w:t xml:space="preserve">t all jobs created will go to refugees, IDPs, and youth. To model this, assume a percentage of the total jobs created are allocated to these groups. Based on their proportion in the local population, you can estimate how many </w:t>
      </w:r>
      <w:bookmarkStart w:id="2" w:name="_Hlk195101610"/>
      <w:r w:rsidR="00151623" w:rsidRPr="00151623">
        <w:rPr>
          <w:bCs/>
          <w:sz w:val="20"/>
          <w:szCs w:val="20"/>
          <w:lang w:val="en-US"/>
        </w:rPr>
        <w:t xml:space="preserve">of the created jobs will go to each group. </w:t>
      </w:r>
    </w:p>
    <w:bookmarkEnd w:id="2"/>
    <w:p w14:paraId="46EDEB97" w14:textId="77777777" w:rsidR="009C2B8A" w:rsidRPr="00BE30B5" w:rsidRDefault="009C2B8A" w:rsidP="009663B1">
      <w:pPr>
        <w:pStyle w:val="NormalBody"/>
        <w:numPr>
          <w:ilvl w:val="0"/>
          <w:numId w:val="20"/>
        </w:numPr>
        <w:rPr>
          <w:b/>
          <w:bCs/>
          <w:color w:val="1E2DBE"/>
          <w:sz w:val="20"/>
          <w:szCs w:val="20"/>
          <w:lang w:val="en-US"/>
        </w:rPr>
      </w:pPr>
      <w:r>
        <w:rPr>
          <w:b/>
          <w:bCs/>
          <w:color w:val="1E2DBE"/>
          <w:sz w:val="20"/>
          <w:szCs w:val="20"/>
          <w:lang w:val="en-US"/>
        </w:rPr>
        <w:t xml:space="preserve">Consultative </w:t>
      </w:r>
      <w:r w:rsidRPr="00BE30B5">
        <w:rPr>
          <w:b/>
          <w:bCs/>
          <w:color w:val="1E2DBE"/>
          <w:sz w:val="20"/>
          <w:szCs w:val="20"/>
          <w:lang w:val="en-US"/>
        </w:rPr>
        <w:t>Policy formulation</w:t>
      </w:r>
    </w:p>
    <w:p w14:paraId="3073ED2D" w14:textId="77777777" w:rsidR="009C2B8A" w:rsidRDefault="009C2B8A" w:rsidP="009C2B8A">
      <w:pPr>
        <w:pStyle w:val="ListBullet1"/>
        <w:numPr>
          <w:ilvl w:val="0"/>
          <w:numId w:val="0"/>
        </w:numPr>
        <w:rPr>
          <w:sz w:val="20"/>
          <w:szCs w:val="20"/>
          <w:lang w:val="en-US"/>
        </w:rPr>
      </w:pPr>
      <w:r>
        <w:rPr>
          <w:sz w:val="20"/>
          <w:szCs w:val="20"/>
          <w:lang w:val="en-US"/>
        </w:rPr>
        <w:t>Based on the findings of the meta-analysis, labour market diagnostics and consultative meetings, the consulting firm will develop at least three policies. These policies will be evidence based, and demand driven to address the identified policy gaps and challenges within the policy environment. In addition, the consulting firm will be responsible for developing policy briefs that would be used for government engagement. These knowledge documents will also be shared at the IEP.</w:t>
      </w:r>
    </w:p>
    <w:p w14:paraId="3F1C5509" w14:textId="05CDDF8F" w:rsidR="006B11EF" w:rsidRPr="0067139A" w:rsidRDefault="006B11EF" w:rsidP="006B11EF">
      <w:pPr>
        <w:pStyle w:val="ListBullet1"/>
        <w:numPr>
          <w:ilvl w:val="0"/>
          <w:numId w:val="0"/>
        </w:numPr>
        <w:rPr>
          <w:lang w:val="en-US"/>
        </w:rPr>
      </w:pPr>
    </w:p>
    <w:p w14:paraId="3914E856" w14:textId="06D69603" w:rsidR="006B11EF" w:rsidRDefault="006B11EF" w:rsidP="009663B1">
      <w:pPr>
        <w:pStyle w:val="NormalBody"/>
        <w:numPr>
          <w:ilvl w:val="0"/>
          <w:numId w:val="20"/>
        </w:numPr>
        <w:rPr>
          <w:b/>
          <w:bCs/>
          <w:color w:val="1E2DBE"/>
          <w:sz w:val="20"/>
          <w:szCs w:val="20"/>
          <w:lang w:val="en-US"/>
        </w:rPr>
      </w:pPr>
      <w:r>
        <w:rPr>
          <w:b/>
          <w:bCs/>
          <w:color w:val="1E2DBE"/>
          <w:sz w:val="20"/>
          <w:szCs w:val="20"/>
          <w:lang w:val="en-US"/>
        </w:rPr>
        <w:t>Validation workshops</w:t>
      </w:r>
    </w:p>
    <w:p w14:paraId="5A20FF99" w14:textId="2E44627E" w:rsidR="006B11EF" w:rsidRDefault="001E6D11" w:rsidP="006B11EF">
      <w:pPr>
        <w:pStyle w:val="NormalBody"/>
        <w:rPr>
          <w:bCs/>
          <w:sz w:val="20"/>
          <w:szCs w:val="20"/>
          <w:lang w:val="en-US"/>
        </w:rPr>
      </w:pPr>
      <w:r>
        <w:rPr>
          <w:bCs/>
          <w:sz w:val="20"/>
          <w:szCs w:val="20"/>
          <w:lang w:val="en-US"/>
        </w:rPr>
        <w:t xml:space="preserve">The implementing partner will conduct validation workshops to </w:t>
      </w:r>
      <w:r w:rsidR="001303B5">
        <w:rPr>
          <w:bCs/>
          <w:sz w:val="20"/>
          <w:szCs w:val="20"/>
          <w:lang w:val="en-US"/>
        </w:rPr>
        <w:t>present</w:t>
      </w:r>
      <w:r>
        <w:rPr>
          <w:bCs/>
          <w:sz w:val="20"/>
          <w:szCs w:val="20"/>
          <w:lang w:val="en-US"/>
        </w:rPr>
        <w:t xml:space="preserve"> the findings from the various </w:t>
      </w:r>
      <w:r w:rsidR="002D7D5B">
        <w:rPr>
          <w:bCs/>
          <w:sz w:val="20"/>
          <w:szCs w:val="20"/>
          <w:lang w:val="en-US"/>
        </w:rPr>
        <w:t>research</w:t>
      </w:r>
      <w:r>
        <w:rPr>
          <w:bCs/>
          <w:sz w:val="20"/>
          <w:szCs w:val="20"/>
          <w:lang w:val="en-US"/>
        </w:rPr>
        <w:t xml:space="preserve"> and assessments</w:t>
      </w:r>
      <w:r w:rsidR="00250741">
        <w:rPr>
          <w:bCs/>
          <w:sz w:val="20"/>
          <w:szCs w:val="20"/>
          <w:lang w:val="en-US"/>
        </w:rPr>
        <w:t xml:space="preserve">, </w:t>
      </w:r>
      <w:r w:rsidR="001303B5">
        <w:rPr>
          <w:bCs/>
          <w:sz w:val="20"/>
          <w:szCs w:val="20"/>
          <w:lang w:val="en-US"/>
        </w:rPr>
        <w:t xml:space="preserve">the </w:t>
      </w:r>
      <w:r w:rsidR="00250741">
        <w:rPr>
          <w:bCs/>
          <w:sz w:val="20"/>
          <w:szCs w:val="20"/>
          <w:lang w:val="en-US"/>
        </w:rPr>
        <w:t xml:space="preserve">draft policy documents and policy briefs </w:t>
      </w:r>
      <w:r w:rsidR="001303B5">
        <w:rPr>
          <w:bCs/>
          <w:sz w:val="20"/>
          <w:szCs w:val="20"/>
          <w:lang w:val="en-US"/>
        </w:rPr>
        <w:t>to</w:t>
      </w:r>
      <w:r>
        <w:rPr>
          <w:bCs/>
          <w:sz w:val="20"/>
          <w:szCs w:val="20"/>
          <w:lang w:val="en-US"/>
        </w:rPr>
        <w:t xml:space="preserve"> </w:t>
      </w:r>
      <w:r w:rsidR="00250741">
        <w:rPr>
          <w:bCs/>
          <w:sz w:val="20"/>
          <w:szCs w:val="20"/>
          <w:lang w:val="en-US"/>
        </w:rPr>
        <w:t>all the relevant stakeholders</w:t>
      </w:r>
      <w:r w:rsidR="006B11EF" w:rsidRPr="00151623">
        <w:rPr>
          <w:bCs/>
          <w:sz w:val="20"/>
          <w:szCs w:val="20"/>
          <w:lang w:val="en-US"/>
        </w:rPr>
        <w:t>.</w:t>
      </w:r>
      <w:r w:rsidR="00E4305F">
        <w:rPr>
          <w:bCs/>
          <w:sz w:val="20"/>
          <w:szCs w:val="20"/>
          <w:lang w:val="en-US"/>
        </w:rPr>
        <w:t xml:space="preserve"> The validation workshops will provide an opportunity to gather feedback that will enrich the developed knowledge </w:t>
      </w:r>
      <w:r w:rsidR="00E168F0">
        <w:rPr>
          <w:bCs/>
          <w:sz w:val="20"/>
          <w:szCs w:val="20"/>
          <w:lang w:val="en-US"/>
        </w:rPr>
        <w:t>documents.</w:t>
      </w:r>
      <w:r w:rsidR="006B11EF" w:rsidRPr="00151623">
        <w:rPr>
          <w:bCs/>
          <w:sz w:val="20"/>
          <w:szCs w:val="20"/>
          <w:lang w:val="en-US"/>
        </w:rPr>
        <w:t xml:space="preserve"> </w:t>
      </w:r>
    </w:p>
    <w:p w14:paraId="451986E2" w14:textId="5A04C764" w:rsidR="00015C53" w:rsidRPr="006B11EF" w:rsidRDefault="006B11EF" w:rsidP="009663B1">
      <w:pPr>
        <w:pStyle w:val="NormalBody"/>
        <w:numPr>
          <w:ilvl w:val="0"/>
          <w:numId w:val="20"/>
        </w:numPr>
        <w:rPr>
          <w:b/>
          <w:bCs/>
          <w:color w:val="1E2DBE"/>
          <w:sz w:val="20"/>
          <w:szCs w:val="20"/>
          <w:lang w:val="en-US"/>
        </w:rPr>
      </w:pPr>
      <w:r>
        <w:rPr>
          <w:b/>
          <w:bCs/>
          <w:color w:val="1E2DBE"/>
          <w:sz w:val="20"/>
          <w:szCs w:val="20"/>
          <w:lang w:val="en-US"/>
        </w:rPr>
        <w:t>Tr</w:t>
      </w:r>
      <w:r w:rsidR="00A57B2D">
        <w:rPr>
          <w:b/>
          <w:bCs/>
          <w:color w:val="1E2DBE"/>
          <w:sz w:val="20"/>
          <w:szCs w:val="20"/>
          <w:lang w:val="en-US"/>
        </w:rPr>
        <w:t xml:space="preserve">aining on </w:t>
      </w:r>
      <w:r w:rsidR="00BB18F3" w:rsidRPr="00BB18F3">
        <w:rPr>
          <w:b/>
          <w:bCs/>
          <w:color w:val="1E2DBE"/>
          <w:sz w:val="20"/>
          <w:szCs w:val="20"/>
          <w:lang w:val="en-US"/>
        </w:rPr>
        <w:t>employment</w:t>
      </w:r>
      <w:r w:rsidR="00BB18F3">
        <w:rPr>
          <w:b/>
          <w:bCs/>
          <w:color w:val="1E2DBE"/>
          <w:sz w:val="20"/>
          <w:szCs w:val="20"/>
          <w:lang w:val="en-US"/>
        </w:rPr>
        <w:t xml:space="preserve"> responsive</w:t>
      </w:r>
      <w:r w:rsidR="00BB18F3" w:rsidRPr="00BB18F3">
        <w:rPr>
          <w:b/>
          <w:bCs/>
          <w:color w:val="1E2DBE"/>
          <w:sz w:val="20"/>
          <w:szCs w:val="20"/>
          <w:lang w:val="en-US"/>
        </w:rPr>
        <w:t xml:space="preserve"> policy for</w:t>
      </w:r>
      <w:r w:rsidR="00BB18F3">
        <w:rPr>
          <w:b/>
          <w:bCs/>
          <w:color w:val="1E2DBE"/>
          <w:sz w:val="20"/>
          <w:szCs w:val="20"/>
          <w:lang w:val="en-US"/>
        </w:rPr>
        <w:t>mulation</w:t>
      </w:r>
    </w:p>
    <w:p w14:paraId="0B3D63A0" w14:textId="3475F7B6" w:rsidR="00BF414B" w:rsidRDefault="00095AE5" w:rsidP="00896B8C">
      <w:pPr>
        <w:pStyle w:val="ListBullet1"/>
        <w:numPr>
          <w:ilvl w:val="0"/>
          <w:numId w:val="0"/>
        </w:numPr>
        <w:rPr>
          <w:sz w:val="20"/>
          <w:szCs w:val="20"/>
          <w:lang w:val="en-US"/>
        </w:rPr>
      </w:pPr>
      <w:r w:rsidRPr="00095AE5">
        <w:rPr>
          <w:sz w:val="20"/>
          <w:szCs w:val="20"/>
          <w:lang w:val="en-US"/>
        </w:rPr>
        <w:t xml:space="preserve">Provide training on refugees, IDPs and youth responsive employment policy formulation for key national stakeholders, including national and sub-national government stakeholders, trade unions and employers’ organizations.  </w:t>
      </w:r>
    </w:p>
    <w:p w14:paraId="60532782" w14:textId="77777777" w:rsidR="00117007" w:rsidRPr="00BB18F3" w:rsidRDefault="00117007" w:rsidP="00896B8C">
      <w:pPr>
        <w:pStyle w:val="ListBullet1"/>
        <w:numPr>
          <w:ilvl w:val="0"/>
          <w:numId w:val="0"/>
        </w:numPr>
        <w:rPr>
          <w:sz w:val="20"/>
          <w:szCs w:val="20"/>
          <w:lang w:val="en-US"/>
        </w:rPr>
      </w:pPr>
    </w:p>
    <w:p w14:paraId="00056255" w14:textId="74B20524" w:rsidR="00F22893" w:rsidRDefault="00902EAC" w:rsidP="005B6B47">
      <w:pPr>
        <w:pStyle w:val="Headinglevel1"/>
        <w:pageBreakBefore w:val="0"/>
        <w:pBdr>
          <w:bottom w:val="none" w:sz="0" w:space="0" w:color="auto"/>
        </w:pBdr>
        <w:spacing w:before="240" w:after="120"/>
        <w:ind w:left="346" w:hanging="346"/>
        <w:rPr>
          <w:lang w:val="en-US"/>
        </w:rPr>
      </w:pPr>
      <w:r w:rsidRPr="00015C53">
        <w:rPr>
          <w:lang w:val="en-US"/>
        </w:rPr>
        <w:t xml:space="preserve">Timeframe </w:t>
      </w:r>
      <w:r>
        <w:rPr>
          <w:lang w:val="en-US"/>
        </w:rPr>
        <w:t>a</w:t>
      </w:r>
      <w:r w:rsidRPr="00015C53">
        <w:rPr>
          <w:lang w:val="en-US"/>
        </w:rPr>
        <w:t>nd Deliverables</w:t>
      </w:r>
    </w:p>
    <w:p w14:paraId="67510FD0" w14:textId="50D3D1E2" w:rsidR="005D3BD2" w:rsidRPr="007857B4" w:rsidRDefault="0075768C" w:rsidP="007857B4">
      <w:pPr>
        <w:pStyle w:val="Headinglevel2"/>
        <w:rPr>
          <w:b w:val="0"/>
          <w:bCs w:val="0"/>
        </w:rPr>
      </w:pPr>
      <w:r w:rsidRPr="007857B4">
        <w:rPr>
          <w:b w:val="0"/>
          <w:bCs w:val="0"/>
        </w:rPr>
        <w:t>Timeframe</w:t>
      </w:r>
    </w:p>
    <w:p w14:paraId="1511ACEC" w14:textId="5DF22AC3" w:rsidR="007857B4" w:rsidRDefault="007857B4" w:rsidP="005D3BD2">
      <w:pPr>
        <w:pStyle w:val="NormalBody"/>
        <w:rPr>
          <w:b/>
          <w:bCs/>
          <w:lang w:val="en-US"/>
        </w:rPr>
      </w:pPr>
      <w:r>
        <w:rPr>
          <w:lang w:val="en-US"/>
        </w:rPr>
        <w:t xml:space="preserve">The assignment is expected to not take more than </w:t>
      </w:r>
      <w:r w:rsidR="005C5A97">
        <w:rPr>
          <w:b/>
          <w:bCs/>
          <w:lang w:val="en-US"/>
        </w:rPr>
        <w:t>6</w:t>
      </w:r>
      <w:r w:rsidR="002D7D5B">
        <w:rPr>
          <w:b/>
          <w:bCs/>
          <w:lang w:val="en-US"/>
        </w:rPr>
        <w:t xml:space="preserve"> </w:t>
      </w:r>
      <w:r w:rsidR="005C5A97">
        <w:rPr>
          <w:b/>
          <w:bCs/>
          <w:lang w:val="en-US"/>
        </w:rPr>
        <w:t>months</w:t>
      </w:r>
      <w:r>
        <w:rPr>
          <w:b/>
          <w:bCs/>
          <w:lang w:val="en-US"/>
        </w:rPr>
        <w:t xml:space="preserve">. </w:t>
      </w:r>
    </w:p>
    <w:tbl>
      <w:tblPr>
        <w:tblStyle w:val="GridTable4-Accent51"/>
        <w:tblW w:w="0" w:type="auto"/>
        <w:tblLook w:val="04A0" w:firstRow="1" w:lastRow="0" w:firstColumn="1" w:lastColumn="0" w:noHBand="0" w:noVBand="1"/>
      </w:tblPr>
      <w:tblGrid>
        <w:gridCol w:w="562"/>
        <w:gridCol w:w="6663"/>
        <w:gridCol w:w="2403"/>
      </w:tblGrid>
      <w:tr w:rsidR="005908A5" w14:paraId="4E24F208" w14:textId="77777777" w:rsidTr="00C725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2A344EB" w14:textId="77777777" w:rsidR="005908A5" w:rsidRDefault="005908A5" w:rsidP="00B866B8">
            <w:pPr>
              <w:pStyle w:val="NormalBody"/>
              <w:spacing w:before="0" w:after="0"/>
              <w:rPr>
                <w:b w:val="0"/>
                <w:bCs w:val="0"/>
                <w:lang w:val="en-US"/>
              </w:rPr>
            </w:pPr>
          </w:p>
        </w:tc>
        <w:tc>
          <w:tcPr>
            <w:tcW w:w="6663" w:type="dxa"/>
          </w:tcPr>
          <w:p w14:paraId="1C97B64D" w14:textId="4EB21FA5" w:rsidR="005908A5" w:rsidRDefault="005908A5" w:rsidP="00B866B8">
            <w:pPr>
              <w:pStyle w:val="NormalBody"/>
              <w:spacing w:before="0" w:after="0"/>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Activity</w:t>
            </w:r>
          </w:p>
        </w:tc>
        <w:tc>
          <w:tcPr>
            <w:tcW w:w="2403" w:type="dxa"/>
          </w:tcPr>
          <w:p w14:paraId="03397407" w14:textId="6442EB9F" w:rsidR="005908A5" w:rsidRDefault="005908A5" w:rsidP="00B866B8">
            <w:pPr>
              <w:pStyle w:val="NormalBody"/>
              <w:spacing w:before="0" w:after="0"/>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Estimated time frame</w:t>
            </w:r>
          </w:p>
        </w:tc>
      </w:tr>
      <w:tr w:rsidR="0004611C" w14:paraId="57287345" w14:textId="77777777" w:rsidTr="00C72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F8D7A35" w14:textId="7D5BADD8" w:rsidR="0004611C" w:rsidRDefault="00073945" w:rsidP="00B866B8">
            <w:pPr>
              <w:pStyle w:val="NormalBody"/>
              <w:spacing w:before="0" w:after="0"/>
              <w:rPr>
                <w:b w:val="0"/>
                <w:bCs w:val="0"/>
                <w:lang w:val="en-US"/>
              </w:rPr>
            </w:pPr>
            <w:r>
              <w:rPr>
                <w:lang w:val="en-US"/>
              </w:rPr>
              <w:t xml:space="preserve">1. </w:t>
            </w:r>
          </w:p>
        </w:tc>
        <w:tc>
          <w:tcPr>
            <w:tcW w:w="6663" w:type="dxa"/>
          </w:tcPr>
          <w:p w14:paraId="719636B7" w14:textId="79C7CD2B" w:rsidR="0004611C" w:rsidRDefault="00B866B8" w:rsidP="00B866B8">
            <w:pPr>
              <w:pStyle w:val="NormalBody"/>
              <w:spacing w:before="0" w:after="0"/>
              <w:cnfStyle w:val="000000100000" w:firstRow="0" w:lastRow="0" w:firstColumn="0" w:lastColumn="0" w:oddVBand="0" w:evenVBand="0" w:oddHBand="1" w:evenHBand="0" w:firstRowFirstColumn="0" w:firstRowLastColumn="0" w:lastRowFirstColumn="0" w:lastRowLastColumn="0"/>
              <w:rPr>
                <w:b/>
                <w:bCs/>
                <w:lang w:val="en-US"/>
              </w:rPr>
            </w:pPr>
            <w:r>
              <w:rPr>
                <w:b/>
                <w:bCs/>
                <w:lang w:val="en-US"/>
              </w:rPr>
              <w:t>Conduct Meta- Analysis</w:t>
            </w:r>
          </w:p>
        </w:tc>
        <w:tc>
          <w:tcPr>
            <w:tcW w:w="2403" w:type="dxa"/>
          </w:tcPr>
          <w:p w14:paraId="2ABE073D" w14:textId="17FE261F" w:rsidR="0004611C" w:rsidRDefault="0004611C" w:rsidP="00B866B8">
            <w:pPr>
              <w:pStyle w:val="NormalBody"/>
              <w:spacing w:before="0" w:after="0"/>
              <w:cnfStyle w:val="000000100000" w:firstRow="0" w:lastRow="0" w:firstColumn="0" w:lastColumn="0" w:oddVBand="0" w:evenVBand="0" w:oddHBand="1" w:evenHBand="0" w:firstRowFirstColumn="0" w:firstRowLastColumn="0" w:lastRowFirstColumn="0" w:lastRowLastColumn="0"/>
              <w:rPr>
                <w:b/>
                <w:bCs/>
                <w:lang w:val="en-US"/>
              </w:rPr>
            </w:pPr>
          </w:p>
        </w:tc>
      </w:tr>
      <w:tr w:rsidR="0004611C" w14:paraId="35572ED7" w14:textId="77777777" w:rsidTr="00C7258F">
        <w:tc>
          <w:tcPr>
            <w:cnfStyle w:val="001000000000" w:firstRow="0" w:lastRow="0" w:firstColumn="1" w:lastColumn="0" w:oddVBand="0" w:evenVBand="0" w:oddHBand="0" w:evenHBand="0" w:firstRowFirstColumn="0" w:firstRowLastColumn="0" w:lastRowFirstColumn="0" w:lastRowLastColumn="0"/>
            <w:tcW w:w="562" w:type="dxa"/>
          </w:tcPr>
          <w:p w14:paraId="45DAFC2D" w14:textId="77777777" w:rsidR="0004611C" w:rsidRDefault="0004611C" w:rsidP="00B866B8">
            <w:pPr>
              <w:pStyle w:val="NormalBody"/>
              <w:spacing w:before="0" w:after="0"/>
              <w:rPr>
                <w:b w:val="0"/>
                <w:bCs w:val="0"/>
                <w:lang w:val="en-US"/>
              </w:rPr>
            </w:pPr>
          </w:p>
        </w:tc>
        <w:tc>
          <w:tcPr>
            <w:tcW w:w="6663" w:type="dxa"/>
          </w:tcPr>
          <w:p w14:paraId="7D092994" w14:textId="20F67ECE" w:rsidR="0004611C" w:rsidRPr="00CB0274" w:rsidRDefault="0007457F" w:rsidP="00B866B8">
            <w:pPr>
              <w:pStyle w:val="NormalBody"/>
              <w:spacing w:before="0" w:after="0"/>
              <w:cnfStyle w:val="000000000000" w:firstRow="0" w:lastRow="0" w:firstColumn="0" w:lastColumn="0" w:oddVBand="0" w:evenVBand="0" w:oddHBand="0" w:evenHBand="0" w:firstRowFirstColumn="0" w:firstRowLastColumn="0" w:lastRowFirstColumn="0" w:lastRowLastColumn="0"/>
              <w:rPr>
                <w:i/>
                <w:iCs/>
                <w:lang w:val="en-US"/>
              </w:rPr>
            </w:pPr>
            <w:r w:rsidRPr="00CB0274">
              <w:rPr>
                <w:i/>
                <w:iCs/>
                <w:lang w:val="en-US"/>
              </w:rPr>
              <w:t xml:space="preserve">Literature </w:t>
            </w:r>
            <w:r w:rsidR="000D34AD" w:rsidRPr="00CB0274">
              <w:rPr>
                <w:i/>
                <w:iCs/>
                <w:lang w:val="en-US"/>
              </w:rPr>
              <w:t>review</w:t>
            </w:r>
          </w:p>
        </w:tc>
        <w:tc>
          <w:tcPr>
            <w:tcW w:w="2403" w:type="dxa"/>
          </w:tcPr>
          <w:p w14:paraId="638D0DCC" w14:textId="1BC71123" w:rsidR="0004611C" w:rsidRPr="009A079E" w:rsidRDefault="00857DAC" w:rsidP="00B866B8">
            <w:pPr>
              <w:pStyle w:val="NormalBody"/>
              <w:spacing w:before="0" w:after="0"/>
              <w:cnfStyle w:val="000000000000" w:firstRow="0" w:lastRow="0" w:firstColumn="0" w:lastColumn="0" w:oddVBand="0" w:evenVBand="0" w:oddHBand="0" w:evenHBand="0" w:firstRowFirstColumn="0" w:firstRowLastColumn="0" w:lastRowFirstColumn="0" w:lastRowLastColumn="0"/>
              <w:rPr>
                <w:lang w:val="en-US"/>
              </w:rPr>
            </w:pPr>
            <w:r>
              <w:rPr>
                <w:lang w:val="en-US"/>
              </w:rPr>
              <w:t>2</w:t>
            </w:r>
            <w:r w:rsidR="0064766C">
              <w:rPr>
                <w:lang w:val="en-US"/>
              </w:rPr>
              <w:t>weeks</w:t>
            </w:r>
          </w:p>
        </w:tc>
      </w:tr>
      <w:tr w:rsidR="0004611C" w14:paraId="07292AAB" w14:textId="77777777" w:rsidTr="00C72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CACBEE0" w14:textId="77777777" w:rsidR="0004611C" w:rsidRDefault="0004611C" w:rsidP="00B866B8">
            <w:pPr>
              <w:pStyle w:val="NormalBody"/>
              <w:spacing w:before="0" w:after="0"/>
              <w:rPr>
                <w:b w:val="0"/>
                <w:bCs w:val="0"/>
                <w:lang w:val="en-US"/>
              </w:rPr>
            </w:pPr>
          </w:p>
        </w:tc>
        <w:tc>
          <w:tcPr>
            <w:tcW w:w="6663" w:type="dxa"/>
          </w:tcPr>
          <w:p w14:paraId="3A23903C" w14:textId="47EE53CA" w:rsidR="0004611C" w:rsidRPr="00CB0274" w:rsidRDefault="00F45DC6" w:rsidP="00B866B8">
            <w:pPr>
              <w:pStyle w:val="NormalBody"/>
              <w:spacing w:before="0" w:after="0"/>
              <w:cnfStyle w:val="000000100000" w:firstRow="0" w:lastRow="0" w:firstColumn="0" w:lastColumn="0" w:oddVBand="0" w:evenVBand="0" w:oddHBand="1" w:evenHBand="0" w:firstRowFirstColumn="0" w:firstRowLastColumn="0" w:lastRowFirstColumn="0" w:lastRowLastColumn="0"/>
              <w:rPr>
                <w:i/>
                <w:iCs/>
                <w:lang w:val="en-US"/>
              </w:rPr>
            </w:pPr>
            <w:r w:rsidRPr="00CB0274">
              <w:rPr>
                <w:i/>
                <w:iCs/>
                <w:lang w:val="en-US"/>
              </w:rPr>
              <w:t xml:space="preserve">Data Extraction </w:t>
            </w:r>
          </w:p>
        </w:tc>
        <w:tc>
          <w:tcPr>
            <w:tcW w:w="2403" w:type="dxa"/>
          </w:tcPr>
          <w:p w14:paraId="01612731" w14:textId="72772290" w:rsidR="0004611C" w:rsidRPr="009A079E" w:rsidRDefault="0064766C" w:rsidP="00B866B8">
            <w:pPr>
              <w:pStyle w:val="NormalBody"/>
              <w:spacing w:before="0" w:after="0"/>
              <w:cnfStyle w:val="000000100000" w:firstRow="0" w:lastRow="0" w:firstColumn="0" w:lastColumn="0" w:oddVBand="0" w:evenVBand="0" w:oddHBand="1" w:evenHBand="0" w:firstRowFirstColumn="0" w:firstRowLastColumn="0" w:lastRowFirstColumn="0" w:lastRowLastColumn="0"/>
              <w:rPr>
                <w:lang w:val="en-US"/>
              </w:rPr>
            </w:pPr>
            <w:r>
              <w:rPr>
                <w:lang w:val="en-US"/>
              </w:rPr>
              <w:t>2</w:t>
            </w:r>
            <w:r w:rsidR="00556422" w:rsidRPr="009A079E">
              <w:rPr>
                <w:lang w:val="en-US"/>
              </w:rPr>
              <w:t xml:space="preserve"> weeks</w:t>
            </w:r>
          </w:p>
        </w:tc>
      </w:tr>
      <w:tr w:rsidR="0004611C" w14:paraId="3E04D7C0" w14:textId="77777777" w:rsidTr="00C7258F">
        <w:tc>
          <w:tcPr>
            <w:cnfStyle w:val="001000000000" w:firstRow="0" w:lastRow="0" w:firstColumn="1" w:lastColumn="0" w:oddVBand="0" w:evenVBand="0" w:oddHBand="0" w:evenHBand="0" w:firstRowFirstColumn="0" w:firstRowLastColumn="0" w:lastRowFirstColumn="0" w:lastRowLastColumn="0"/>
            <w:tcW w:w="562" w:type="dxa"/>
          </w:tcPr>
          <w:p w14:paraId="51568783" w14:textId="77777777" w:rsidR="0004611C" w:rsidRDefault="0004611C" w:rsidP="00B866B8">
            <w:pPr>
              <w:pStyle w:val="NormalBody"/>
              <w:spacing w:before="0" w:after="0"/>
              <w:rPr>
                <w:b w:val="0"/>
                <w:bCs w:val="0"/>
                <w:lang w:val="en-US"/>
              </w:rPr>
            </w:pPr>
          </w:p>
        </w:tc>
        <w:tc>
          <w:tcPr>
            <w:tcW w:w="6663" w:type="dxa"/>
          </w:tcPr>
          <w:p w14:paraId="7F998411" w14:textId="57D8C9B2" w:rsidR="0004611C" w:rsidRPr="00CB0274" w:rsidRDefault="00ED1BDD" w:rsidP="00B866B8">
            <w:pPr>
              <w:pStyle w:val="NormalBody"/>
              <w:spacing w:before="0" w:after="0"/>
              <w:cnfStyle w:val="000000000000" w:firstRow="0" w:lastRow="0" w:firstColumn="0" w:lastColumn="0" w:oddVBand="0" w:evenVBand="0" w:oddHBand="0" w:evenHBand="0" w:firstRowFirstColumn="0" w:firstRowLastColumn="0" w:lastRowFirstColumn="0" w:lastRowLastColumn="0"/>
              <w:rPr>
                <w:i/>
                <w:iCs/>
                <w:lang w:val="en-US"/>
              </w:rPr>
            </w:pPr>
            <w:r w:rsidRPr="00CB0274">
              <w:rPr>
                <w:i/>
                <w:iCs/>
                <w:lang w:val="en-US"/>
              </w:rPr>
              <w:t xml:space="preserve">Data Analysis </w:t>
            </w:r>
          </w:p>
        </w:tc>
        <w:tc>
          <w:tcPr>
            <w:tcW w:w="2403" w:type="dxa"/>
          </w:tcPr>
          <w:p w14:paraId="3F6C6FAB" w14:textId="56D6E2F1" w:rsidR="0004611C" w:rsidRPr="009A079E" w:rsidRDefault="0064766C" w:rsidP="00B866B8">
            <w:pPr>
              <w:pStyle w:val="NormalBody"/>
              <w:spacing w:before="0" w:after="0"/>
              <w:cnfStyle w:val="000000000000" w:firstRow="0" w:lastRow="0" w:firstColumn="0" w:lastColumn="0" w:oddVBand="0" w:evenVBand="0" w:oddHBand="0" w:evenHBand="0" w:firstRowFirstColumn="0" w:firstRowLastColumn="0" w:lastRowFirstColumn="0" w:lastRowLastColumn="0"/>
              <w:rPr>
                <w:lang w:val="en-US"/>
              </w:rPr>
            </w:pPr>
            <w:r>
              <w:rPr>
                <w:lang w:val="en-US"/>
              </w:rPr>
              <w:t>1</w:t>
            </w:r>
            <w:r w:rsidR="00556422" w:rsidRPr="009A079E">
              <w:rPr>
                <w:lang w:val="en-US"/>
              </w:rPr>
              <w:t xml:space="preserve"> weeks</w:t>
            </w:r>
          </w:p>
        </w:tc>
      </w:tr>
      <w:tr w:rsidR="0004611C" w:rsidRPr="007C2EE8" w14:paraId="14EFC2AC" w14:textId="77777777" w:rsidTr="00C72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AD5B86A" w14:textId="77777777" w:rsidR="0004611C" w:rsidRPr="007C2EE8" w:rsidRDefault="0004611C" w:rsidP="00B866B8">
            <w:pPr>
              <w:pStyle w:val="NormalBody"/>
              <w:spacing w:before="0" w:after="0"/>
              <w:rPr>
                <w:lang w:val="en-US"/>
              </w:rPr>
            </w:pPr>
          </w:p>
        </w:tc>
        <w:tc>
          <w:tcPr>
            <w:tcW w:w="6663" w:type="dxa"/>
          </w:tcPr>
          <w:p w14:paraId="5410A847" w14:textId="0A779F7C" w:rsidR="0004611C" w:rsidRPr="00CB0274" w:rsidRDefault="00C715D6" w:rsidP="00B866B8">
            <w:pPr>
              <w:pStyle w:val="NormalBody"/>
              <w:spacing w:before="0" w:after="0"/>
              <w:cnfStyle w:val="000000100000" w:firstRow="0" w:lastRow="0" w:firstColumn="0" w:lastColumn="0" w:oddVBand="0" w:evenVBand="0" w:oddHBand="1" w:evenHBand="0" w:firstRowFirstColumn="0" w:firstRowLastColumn="0" w:lastRowFirstColumn="0" w:lastRowLastColumn="0"/>
              <w:rPr>
                <w:i/>
                <w:iCs/>
                <w:lang w:val="en-US"/>
              </w:rPr>
            </w:pPr>
            <w:r w:rsidRPr="00CB0274">
              <w:rPr>
                <w:i/>
                <w:iCs/>
                <w:lang w:val="en-US"/>
              </w:rPr>
              <w:t xml:space="preserve">Interpretation and Report Writing </w:t>
            </w:r>
          </w:p>
        </w:tc>
        <w:tc>
          <w:tcPr>
            <w:tcW w:w="2403" w:type="dxa"/>
          </w:tcPr>
          <w:p w14:paraId="1E14899B" w14:textId="78ED6202" w:rsidR="0004611C" w:rsidRPr="007C2EE8" w:rsidRDefault="007F19B4" w:rsidP="00B866B8">
            <w:pPr>
              <w:pStyle w:val="NormalBody"/>
              <w:spacing w:before="0" w:after="0"/>
              <w:cnfStyle w:val="000000100000" w:firstRow="0" w:lastRow="0" w:firstColumn="0" w:lastColumn="0" w:oddVBand="0" w:evenVBand="0" w:oddHBand="1" w:evenHBand="0" w:firstRowFirstColumn="0" w:firstRowLastColumn="0" w:lastRowFirstColumn="0" w:lastRowLastColumn="0"/>
              <w:rPr>
                <w:lang w:val="en-US"/>
              </w:rPr>
            </w:pPr>
            <w:r w:rsidRPr="007C2EE8">
              <w:rPr>
                <w:lang w:val="en-US"/>
              </w:rPr>
              <w:t>2 weeks</w:t>
            </w:r>
          </w:p>
        </w:tc>
      </w:tr>
      <w:tr w:rsidR="007C2EE8" w:rsidRPr="007C2EE8" w14:paraId="3BC67E06" w14:textId="77777777" w:rsidTr="00C7258F">
        <w:tc>
          <w:tcPr>
            <w:cnfStyle w:val="001000000000" w:firstRow="0" w:lastRow="0" w:firstColumn="1" w:lastColumn="0" w:oddVBand="0" w:evenVBand="0" w:oddHBand="0" w:evenHBand="0" w:firstRowFirstColumn="0" w:firstRowLastColumn="0" w:lastRowFirstColumn="0" w:lastRowLastColumn="0"/>
            <w:tcW w:w="562" w:type="dxa"/>
          </w:tcPr>
          <w:p w14:paraId="4D0BFF46" w14:textId="33F8470A" w:rsidR="0004611C" w:rsidRPr="007C2EE8" w:rsidRDefault="00073945" w:rsidP="00B866B8">
            <w:pPr>
              <w:pStyle w:val="NormalBody"/>
              <w:spacing w:before="0" w:after="0"/>
              <w:rPr>
                <w:lang w:val="en-US"/>
              </w:rPr>
            </w:pPr>
            <w:r w:rsidRPr="007C2EE8">
              <w:rPr>
                <w:lang w:val="en-US"/>
              </w:rPr>
              <w:t xml:space="preserve">2. </w:t>
            </w:r>
          </w:p>
        </w:tc>
        <w:tc>
          <w:tcPr>
            <w:tcW w:w="6663" w:type="dxa"/>
          </w:tcPr>
          <w:p w14:paraId="604D0282" w14:textId="215E1C0E" w:rsidR="0004611C" w:rsidRPr="00433887" w:rsidRDefault="005A1360" w:rsidP="00B866B8">
            <w:pPr>
              <w:pStyle w:val="NormalBody"/>
              <w:spacing w:before="0" w:after="0"/>
              <w:cnfStyle w:val="000000000000" w:firstRow="0" w:lastRow="0" w:firstColumn="0" w:lastColumn="0" w:oddVBand="0" w:evenVBand="0" w:oddHBand="0" w:evenHBand="0" w:firstRowFirstColumn="0" w:firstRowLastColumn="0" w:lastRowFirstColumn="0" w:lastRowLastColumn="0"/>
              <w:rPr>
                <w:b/>
                <w:bCs/>
                <w:lang w:val="en-US"/>
              </w:rPr>
            </w:pPr>
            <w:r w:rsidRPr="00433887">
              <w:rPr>
                <w:b/>
                <w:bCs/>
                <w:lang w:val="en-US"/>
              </w:rPr>
              <w:t>Identify sectors with a potential to create green jobs</w:t>
            </w:r>
          </w:p>
        </w:tc>
        <w:tc>
          <w:tcPr>
            <w:tcW w:w="2403" w:type="dxa"/>
          </w:tcPr>
          <w:p w14:paraId="05662C84" w14:textId="7335CC79" w:rsidR="0004611C" w:rsidRPr="007C2EE8" w:rsidRDefault="009329BD" w:rsidP="00B866B8">
            <w:pPr>
              <w:pStyle w:val="NormalBody"/>
              <w:spacing w:before="0" w:after="0"/>
              <w:cnfStyle w:val="000000000000" w:firstRow="0" w:lastRow="0" w:firstColumn="0" w:lastColumn="0" w:oddVBand="0" w:evenVBand="0" w:oddHBand="0" w:evenHBand="0" w:firstRowFirstColumn="0" w:firstRowLastColumn="0" w:lastRowFirstColumn="0" w:lastRowLastColumn="0"/>
              <w:rPr>
                <w:lang w:val="en-US"/>
              </w:rPr>
            </w:pPr>
            <w:r w:rsidRPr="007C2EE8">
              <w:rPr>
                <w:lang w:val="en-US"/>
              </w:rPr>
              <w:t>2 weeks</w:t>
            </w:r>
          </w:p>
        </w:tc>
      </w:tr>
      <w:tr w:rsidR="00FB67C7" w:rsidRPr="007C2EE8" w14:paraId="0B67E93A" w14:textId="77777777" w:rsidTr="00C72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F90B8BD" w14:textId="77777777" w:rsidR="00FB67C7" w:rsidRPr="007C2EE8" w:rsidRDefault="00FB67C7" w:rsidP="00B866B8">
            <w:pPr>
              <w:pStyle w:val="NormalBody"/>
              <w:spacing w:before="0" w:after="0"/>
              <w:rPr>
                <w:lang w:val="en-US"/>
              </w:rPr>
            </w:pPr>
          </w:p>
        </w:tc>
        <w:tc>
          <w:tcPr>
            <w:tcW w:w="6663" w:type="dxa"/>
          </w:tcPr>
          <w:p w14:paraId="7E0C1D5F" w14:textId="77777777" w:rsidR="00FB67C7" w:rsidRPr="007C2EE8" w:rsidRDefault="00FB67C7" w:rsidP="00B866B8">
            <w:pPr>
              <w:pStyle w:val="NormalBody"/>
              <w:spacing w:before="0" w:after="0"/>
              <w:cnfStyle w:val="000000100000" w:firstRow="0" w:lastRow="0" w:firstColumn="0" w:lastColumn="0" w:oddVBand="0" w:evenVBand="0" w:oddHBand="1" w:evenHBand="0" w:firstRowFirstColumn="0" w:firstRowLastColumn="0" w:lastRowFirstColumn="0" w:lastRowLastColumn="0"/>
              <w:rPr>
                <w:lang w:val="en-US"/>
              </w:rPr>
            </w:pPr>
          </w:p>
        </w:tc>
        <w:tc>
          <w:tcPr>
            <w:tcW w:w="2403" w:type="dxa"/>
          </w:tcPr>
          <w:p w14:paraId="31CFC93D" w14:textId="77777777" w:rsidR="00FB67C7" w:rsidRPr="007C2EE8" w:rsidRDefault="00FB67C7" w:rsidP="00B866B8">
            <w:pPr>
              <w:pStyle w:val="NormalBody"/>
              <w:spacing w:before="0" w:after="0"/>
              <w:cnfStyle w:val="000000100000" w:firstRow="0" w:lastRow="0" w:firstColumn="0" w:lastColumn="0" w:oddVBand="0" w:evenVBand="0" w:oddHBand="1" w:evenHBand="0" w:firstRowFirstColumn="0" w:firstRowLastColumn="0" w:lastRowFirstColumn="0" w:lastRowLastColumn="0"/>
              <w:rPr>
                <w:lang w:val="en-US"/>
              </w:rPr>
            </w:pPr>
          </w:p>
        </w:tc>
      </w:tr>
      <w:tr w:rsidR="005A1360" w:rsidRPr="007C2EE8" w14:paraId="3981F9DE" w14:textId="77777777" w:rsidTr="00C7258F">
        <w:tc>
          <w:tcPr>
            <w:cnfStyle w:val="001000000000" w:firstRow="0" w:lastRow="0" w:firstColumn="1" w:lastColumn="0" w:oddVBand="0" w:evenVBand="0" w:oddHBand="0" w:evenHBand="0" w:firstRowFirstColumn="0" w:firstRowLastColumn="0" w:lastRowFirstColumn="0" w:lastRowLastColumn="0"/>
            <w:tcW w:w="562" w:type="dxa"/>
          </w:tcPr>
          <w:p w14:paraId="0520EF99" w14:textId="55520B3E" w:rsidR="005A1360" w:rsidRPr="007C2EE8" w:rsidRDefault="000D34AD" w:rsidP="00B866B8">
            <w:pPr>
              <w:pStyle w:val="NormalBody"/>
              <w:spacing w:before="0" w:after="0"/>
              <w:rPr>
                <w:lang w:val="en-US"/>
              </w:rPr>
            </w:pPr>
            <w:r w:rsidRPr="007C2EE8">
              <w:rPr>
                <w:lang w:val="en-US"/>
              </w:rPr>
              <w:t>3.</w:t>
            </w:r>
          </w:p>
        </w:tc>
        <w:tc>
          <w:tcPr>
            <w:tcW w:w="6663" w:type="dxa"/>
          </w:tcPr>
          <w:p w14:paraId="5B946A51" w14:textId="0146D12F" w:rsidR="005A1360" w:rsidRPr="00433887" w:rsidRDefault="000D34AD" w:rsidP="00B866B8">
            <w:pPr>
              <w:pStyle w:val="NormalBody"/>
              <w:spacing w:before="0" w:after="0"/>
              <w:cnfStyle w:val="000000000000" w:firstRow="0" w:lastRow="0" w:firstColumn="0" w:lastColumn="0" w:oddVBand="0" w:evenVBand="0" w:oddHBand="0" w:evenHBand="0" w:firstRowFirstColumn="0" w:firstRowLastColumn="0" w:lastRowFirstColumn="0" w:lastRowLastColumn="0"/>
              <w:rPr>
                <w:b/>
                <w:bCs/>
                <w:lang w:val="en-US"/>
              </w:rPr>
            </w:pPr>
            <w:r w:rsidRPr="00433887">
              <w:rPr>
                <w:b/>
                <w:bCs/>
                <w:lang w:val="en-US"/>
              </w:rPr>
              <w:t>Conduct labour market situation analysis and green employment diagnostics</w:t>
            </w:r>
          </w:p>
        </w:tc>
        <w:tc>
          <w:tcPr>
            <w:tcW w:w="2403" w:type="dxa"/>
          </w:tcPr>
          <w:p w14:paraId="67BF85EE" w14:textId="5999A910" w:rsidR="005A1360" w:rsidRPr="007C2EE8" w:rsidRDefault="005A1360" w:rsidP="00B866B8">
            <w:pPr>
              <w:pStyle w:val="NormalBody"/>
              <w:spacing w:before="0" w:after="0"/>
              <w:cnfStyle w:val="000000000000" w:firstRow="0" w:lastRow="0" w:firstColumn="0" w:lastColumn="0" w:oddVBand="0" w:evenVBand="0" w:oddHBand="0" w:evenHBand="0" w:firstRowFirstColumn="0" w:firstRowLastColumn="0" w:lastRowFirstColumn="0" w:lastRowLastColumn="0"/>
              <w:rPr>
                <w:lang w:val="en-US"/>
              </w:rPr>
            </w:pPr>
          </w:p>
        </w:tc>
      </w:tr>
      <w:tr w:rsidR="005A1360" w:rsidRPr="007C2EE8" w14:paraId="33D0D204" w14:textId="77777777" w:rsidTr="00C72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ADFF9A1" w14:textId="77777777" w:rsidR="005A1360" w:rsidRPr="007C2EE8" w:rsidRDefault="005A1360" w:rsidP="00B866B8">
            <w:pPr>
              <w:pStyle w:val="NormalBody"/>
              <w:spacing w:before="0" w:after="0"/>
              <w:rPr>
                <w:lang w:val="en-US"/>
              </w:rPr>
            </w:pPr>
          </w:p>
        </w:tc>
        <w:tc>
          <w:tcPr>
            <w:tcW w:w="6663" w:type="dxa"/>
          </w:tcPr>
          <w:p w14:paraId="7D7883A1" w14:textId="65A0AD9F" w:rsidR="005A1360" w:rsidRPr="00CB0274" w:rsidRDefault="000D34AD" w:rsidP="00B866B8">
            <w:pPr>
              <w:pStyle w:val="NormalBody"/>
              <w:spacing w:before="0" w:after="0"/>
              <w:cnfStyle w:val="000000100000" w:firstRow="0" w:lastRow="0" w:firstColumn="0" w:lastColumn="0" w:oddVBand="0" w:evenVBand="0" w:oddHBand="1" w:evenHBand="0" w:firstRowFirstColumn="0" w:firstRowLastColumn="0" w:lastRowFirstColumn="0" w:lastRowLastColumn="0"/>
              <w:rPr>
                <w:i/>
                <w:iCs/>
                <w:lang w:val="en-US"/>
              </w:rPr>
            </w:pPr>
            <w:r w:rsidRPr="00CB0274">
              <w:rPr>
                <w:i/>
                <w:iCs/>
                <w:lang w:val="en-US"/>
              </w:rPr>
              <w:t>Literature review</w:t>
            </w:r>
          </w:p>
        </w:tc>
        <w:tc>
          <w:tcPr>
            <w:tcW w:w="2403" w:type="dxa"/>
          </w:tcPr>
          <w:p w14:paraId="135EB84B" w14:textId="708DACCB" w:rsidR="005A1360" w:rsidRPr="007C2EE8" w:rsidRDefault="00E14A71" w:rsidP="00B866B8">
            <w:pPr>
              <w:pStyle w:val="NormalBody"/>
              <w:spacing w:before="0" w:after="0"/>
              <w:cnfStyle w:val="000000100000" w:firstRow="0" w:lastRow="0" w:firstColumn="0" w:lastColumn="0" w:oddVBand="0" w:evenVBand="0" w:oddHBand="1" w:evenHBand="0" w:firstRowFirstColumn="0" w:firstRowLastColumn="0" w:lastRowFirstColumn="0" w:lastRowLastColumn="0"/>
              <w:rPr>
                <w:lang w:val="en-US"/>
              </w:rPr>
            </w:pPr>
            <w:r w:rsidRPr="007C2EE8">
              <w:rPr>
                <w:lang w:val="en-US"/>
              </w:rPr>
              <w:t>2 weeks</w:t>
            </w:r>
          </w:p>
        </w:tc>
      </w:tr>
      <w:tr w:rsidR="005A1360" w:rsidRPr="007C2EE8" w14:paraId="6B06A59E" w14:textId="77777777" w:rsidTr="00C7258F">
        <w:tc>
          <w:tcPr>
            <w:cnfStyle w:val="001000000000" w:firstRow="0" w:lastRow="0" w:firstColumn="1" w:lastColumn="0" w:oddVBand="0" w:evenVBand="0" w:oddHBand="0" w:evenHBand="0" w:firstRowFirstColumn="0" w:firstRowLastColumn="0" w:lastRowFirstColumn="0" w:lastRowLastColumn="0"/>
            <w:tcW w:w="562" w:type="dxa"/>
          </w:tcPr>
          <w:p w14:paraId="7015CE6E" w14:textId="77777777" w:rsidR="005A1360" w:rsidRPr="007C2EE8" w:rsidRDefault="005A1360" w:rsidP="00B866B8">
            <w:pPr>
              <w:pStyle w:val="NormalBody"/>
              <w:spacing w:before="0" w:after="0"/>
              <w:rPr>
                <w:lang w:val="en-US"/>
              </w:rPr>
            </w:pPr>
          </w:p>
        </w:tc>
        <w:tc>
          <w:tcPr>
            <w:tcW w:w="6663" w:type="dxa"/>
          </w:tcPr>
          <w:p w14:paraId="0F9D5670" w14:textId="648ECCDA" w:rsidR="005A1360" w:rsidRPr="00CB0274" w:rsidRDefault="00206C54" w:rsidP="00B866B8">
            <w:pPr>
              <w:pStyle w:val="NormalBody"/>
              <w:spacing w:before="0" w:after="0"/>
              <w:cnfStyle w:val="000000000000" w:firstRow="0" w:lastRow="0" w:firstColumn="0" w:lastColumn="0" w:oddVBand="0" w:evenVBand="0" w:oddHBand="0" w:evenHBand="0" w:firstRowFirstColumn="0" w:firstRowLastColumn="0" w:lastRowFirstColumn="0" w:lastRowLastColumn="0"/>
              <w:rPr>
                <w:i/>
                <w:iCs/>
                <w:lang w:val="en-US"/>
              </w:rPr>
            </w:pPr>
            <w:r w:rsidRPr="00CB0274">
              <w:rPr>
                <w:i/>
                <w:iCs/>
                <w:lang w:val="en-US"/>
              </w:rPr>
              <w:t>Field work</w:t>
            </w:r>
          </w:p>
        </w:tc>
        <w:tc>
          <w:tcPr>
            <w:tcW w:w="2403" w:type="dxa"/>
          </w:tcPr>
          <w:p w14:paraId="2209BF8F" w14:textId="73FA36CF" w:rsidR="005A1360" w:rsidRPr="007C2EE8" w:rsidRDefault="00857DAC" w:rsidP="00B866B8">
            <w:pPr>
              <w:pStyle w:val="NormalBody"/>
              <w:spacing w:before="0" w:after="0"/>
              <w:cnfStyle w:val="000000000000" w:firstRow="0" w:lastRow="0" w:firstColumn="0" w:lastColumn="0" w:oddVBand="0" w:evenVBand="0" w:oddHBand="0" w:evenHBand="0" w:firstRowFirstColumn="0" w:firstRowLastColumn="0" w:lastRowFirstColumn="0" w:lastRowLastColumn="0"/>
              <w:rPr>
                <w:lang w:val="en-US"/>
              </w:rPr>
            </w:pPr>
            <w:r w:rsidRPr="007C2EE8">
              <w:rPr>
                <w:lang w:val="en-US"/>
              </w:rPr>
              <w:t>2</w:t>
            </w:r>
            <w:r w:rsidR="003D1592" w:rsidRPr="007C2EE8">
              <w:rPr>
                <w:lang w:val="en-US"/>
              </w:rPr>
              <w:t xml:space="preserve"> weeks</w:t>
            </w:r>
          </w:p>
        </w:tc>
      </w:tr>
      <w:tr w:rsidR="00C11103" w:rsidRPr="007C2EE8" w14:paraId="54FA74E8" w14:textId="77777777" w:rsidTr="00C72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6DEF557" w14:textId="77777777" w:rsidR="00C11103" w:rsidRPr="007C2EE8" w:rsidRDefault="00C11103" w:rsidP="00B866B8">
            <w:pPr>
              <w:pStyle w:val="NormalBody"/>
              <w:spacing w:before="0" w:after="0"/>
              <w:rPr>
                <w:lang w:val="en-US"/>
              </w:rPr>
            </w:pPr>
          </w:p>
        </w:tc>
        <w:tc>
          <w:tcPr>
            <w:tcW w:w="6663" w:type="dxa"/>
          </w:tcPr>
          <w:p w14:paraId="4276F5E7" w14:textId="550DA245" w:rsidR="00C11103" w:rsidRPr="00CB0274" w:rsidRDefault="00C11103" w:rsidP="00B866B8">
            <w:pPr>
              <w:pStyle w:val="NormalBody"/>
              <w:spacing w:before="0" w:after="0"/>
              <w:cnfStyle w:val="000000100000" w:firstRow="0" w:lastRow="0" w:firstColumn="0" w:lastColumn="0" w:oddVBand="0" w:evenVBand="0" w:oddHBand="1" w:evenHBand="0" w:firstRowFirstColumn="0" w:firstRowLastColumn="0" w:lastRowFirstColumn="0" w:lastRowLastColumn="0"/>
              <w:rPr>
                <w:i/>
                <w:iCs/>
                <w:lang w:val="en-US"/>
              </w:rPr>
            </w:pPr>
            <w:r w:rsidRPr="00CB0274">
              <w:rPr>
                <w:i/>
                <w:iCs/>
                <w:lang w:val="en-US"/>
              </w:rPr>
              <w:t>Report writing</w:t>
            </w:r>
          </w:p>
        </w:tc>
        <w:tc>
          <w:tcPr>
            <w:tcW w:w="2403" w:type="dxa"/>
          </w:tcPr>
          <w:p w14:paraId="68C47CF3" w14:textId="77777777" w:rsidR="00C11103" w:rsidRPr="007C2EE8" w:rsidRDefault="00C11103" w:rsidP="00B866B8">
            <w:pPr>
              <w:pStyle w:val="NormalBody"/>
              <w:spacing w:before="0" w:after="0"/>
              <w:cnfStyle w:val="000000100000" w:firstRow="0" w:lastRow="0" w:firstColumn="0" w:lastColumn="0" w:oddVBand="0" w:evenVBand="0" w:oddHBand="1" w:evenHBand="0" w:firstRowFirstColumn="0" w:firstRowLastColumn="0" w:lastRowFirstColumn="0" w:lastRowLastColumn="0"/>
              <w:rPr>
                <w:lang w:val="en-US"/>
              </w:rPr>
            </w:pPr>
          </w:p>
        </w:tc>
      </w:tr>
      <w:tr w:rsidR="005A1360" w:rsidRPr="007C2EE8" w14:paraId="7490D5A7" w14:textId="77777777" w:rsidTr="00C7258F">
        <w:tc>
          <w:tcPr>
            <w:cnfStyle w:val="001000000000" w:firstRow="0" w:lastRow="0" w:firstColumn="1" w:lastColumn="0" w:oddVBand="0" w:evenVBand="0" w:oddHBand="0" w:evenHBand="0" w:firstRowFirstColumn="0" w:firstRowLastColumn="0" w:lastRowFirstColumn="0" w:lastRowLastColumn="0"/>
            <w:tcW w:w="562" w:type="dxa"/>
          </w:tcPr>
          <w:p w14:paraId="02AC40FE" w14:textId="4DCE7924" w:rsidR="005A1360" w:rsidRPr="007C2EE8" w:rsidRDefault="00414262" w:rsidP="00B866B8">
            <w:pPr>
              <w:pStyle w:val="NormalBody"/>
              <w:spacing w:before="0" w:after="0"/>
              <w:rPr>
                <w:lang w:val="en-US"/>
              </w:rPr>
            </w:pPr>
            <w:r w:rsidRPr="007C2EE8">
              <w:rPr>
                <w:lang w:val="en-US"/>
              </w:rPr>
              <w:t xml:space="preserve">4. </w:t>
            </w:r>
          </w:p>
        </w:tc>
        <w:tc>
          <w:tcPr>
            <w:tcW w:w="6663" w:type="dxa"/>
          </w:tcPr>
          <w:p w14:paraId="2545FB82" w14:textId="5DD910D8" w:rsidR="005A1360" w:rsidRPr="00433887" w:rsidRDefault="00414262" w:rsidP="00B866B8">
            <w:pPr>
              <w:pStyle w:val="NormalBody"/>
              <w:spacing w:before="0" w:after="0"/>
              <w:cnfStyle w:val="000000000000" w:firstRow="0" w:lastRow="0" w:firstColumn="0" w:lastColumn="0" w:oddVBand="0" w:evenVBand="0" w:oddHBand="0" w:evenHBand="0" w:firstRowFirstColumn="0" w:firstRowLastColumn="0" w:lastRowFirstColumn="0" w:lastRowLastColumn="0"/>
              <w:rPr>
                <w:b/>
                <w:bCs/>
                <w:lang w:val="en-US"/>
              </w:rPr>
            </w:pPr>
            <w:r w:rsidRPr="00433887">
              <w:rPr>
                <w:b/>
                <w:bCs/>
                <w:lang w:val="en-US"/>
              </w:rPr>
              <w:t xml:space="preserve">Conduct 5 </w:t>
            </w:r>
            <w:r w:rsidR="00206C54" w:rsidRPr="00433887">
              <w:rPr>
                <w:b/>
                <w:bCs/>
                <w:lang w:val="en-US"/>
              </w:rPr>
              <w:t>Consultative meetings</w:t>
            </w:r>
          </w:p>
        </w:tc>
        <w:tc>
          <w:tcPr>
            <w:tcW w:w="2403" w:type="dxa"/>
          </w:tcPr>
          <w:p w14:paraId="08CE7CA7" w14:textId="5695AEEE" w:rsidR="005A1360" w:rsidRPr="007C2EE8" w:rsidRDefault="00414262" w:rsidP="00B866B8">
            <w:pPr>
              <w:pStyle w:val="NormalBody"/>
              <w:spacing w:before="0" w:after="0"/>
              <w:cnfStyle w:val="000000000000" w:firstRow="0" w:lastRow="0" w:firstColumn="0" w:lastColumn="0" w:oddVBand="0" w:evenVBand="0" w:oddHBand="0" w:evenHBand="0" w:firstRowFirstColumn="0" w:firstRowLastColumn="0" w:lastRowFirstColumn="0" w:lastRowLastColumn="0"/>
              <w:rPr>
                <w:lang w:val="en-US"/>
              </w:rPr>
            </w:pPr>
            <w:r w:rsidRPr="007C2EE8">
              <w:rPr>
                <w:lang w:val="en-US"/>
              </w:rPr>
              <w:t>2 weeks</w:t>
            </w:r>
          </w:p>
        </w:tc>
      </w:tr>
      <w:tr w:rsidR="00203484" w:rsidRPr="007C2EE8" w14:paraId="2167CEB3" w14:textId="77777777" w:rsidTr="00C72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E2400F5" w14:textId="77777777" w:rsidR="00203484" w:rsidRPr="007C2EE8" w:rsidRDefault="00203484" w:rsidP="00B866B8">
            <w:pPr>
              <w:pStyle w:val="NormalBody"/>
              <w:spacing w:before="0" w:after="0"/>
              <w:rPr>
                <w:lang w:val="en-US"/>
              </w:rPr>
            </w:pPr>
          </w:p>
        </w:tc>
        <w:tc>
          <w:tcPr>
            <w:tcW w:w="6663" w:type="dxa"/>
          </w:tcPr>
          <w:p w14:paraId="5645A3E0" w14:textId="77777777" w:rsidR="00203484" w:rsidRPr="007C2EE8" w:rsidRDefault="00203484" w:rsidP="00B866B8">
            <w:pPr>
              <w:pStyle w:val="NormalBody"/>
              <w:spacing w:before="0" w:after="0"/>
              <w:cnfStyle w:val="000000100000" w:firstRow="0" w:lastRow="0" w:firstColumn="0" w:lastColumn="0" w:oddVBand="0" w:evenVBand="0" w:oddHBand="1" w:evenHBand="0" w:firstRowFirstColumn="0" w:firstRowLastColumn="0" w:lastRowFirstColumn="0" w:lastRowLastColumn="0"/>
              <w:rPr>
                <w:lang w:val="en-US"/>
              </w:rPr>
            </w:pPr>
          </w:p>
        </w:tc>
        <w:tc>
          <w:tcPr>
            <w:tcW w:w="2403" w:type="dxa"/>
          </w:tcPr>
          <w:p w14:paraId="48AC9F4B" w14:textId="77777777" w:rsidR="00203484" w:rsidRPr="007C2EE8" w:rsidRDefault="00203484" w:rsidP="00B866B8">
            <w:pPr>
              <w:pStyle w:val="NormalBody"/>
              <w:spacing w:before="0" w:after="0"/>
              <w:cnfStyle w:val="000000100000" w:firstRow="0" w:lastRow="0" w:firstColumn="0" w:lastColumn="0" w:oddVBand="0" w:evenVBand="0" w:oddHBand="1" w:evenHBand="0" w:firstRowFirstColumn="0" w:firstRowLastColumn="0" w:lastRowFirstColumn="0" w:lastRowLastColumn="0"/>
              <w:rPr>
                <w:lang w:val="en-US"/>
              </w:rPr>
            </w:pPr>
          </w:p>
        </w:tc>
      </w:tr>
      <w:tr w:rsidR="005A1360" w:rsidRPr="007C2EE8" w14:paraId="08BC80E5" w14:textId="77777777" w:rsidTr="00C7258F">
        <w:tc>
          <w:tcPr>
            <w:cnfStyle w:val="001000000000" w:firstRow="0" w:lastRow="0" w:firstColumn="1" w:lastColumn="0" w:oddVBand="0" w:evenVBand="0" w:oddHBand="0" w:evenHBand="0" w:firstRowFirstColumn="0" w:firstRowLastColumn="0" w:lastRowFirstColumn="0" w:lastRowLastColumn="0"/>
            <w:tcW w:w="562" w:type="dxa"/>
          </w:tcPr>
          <w:p w14:paraId="23B66520" w14:textId="050A3E43" w:rsidR="005A1360" w:rsidRPr="007C2EE8" w:rsidRDefault="00414262" w:rsidP="00B866B8">
            <w:pPr>
              <w:pStyle w:val="NormalBody"/>
              <w:spacing w:before="0" w:after="0"/>
              <w:rPr>
                <w:lang w:val="en-US"/>
              </w:rPr>
            </w:pPr>
            <w:r w:rsidRPr="007C2EE8">
              <w:rPr>
                <w:lang w:val="en-US"/>
              </w:rPr>
              <w:t>5</w:t>
            </w:r>
          </w:p>
        </w:tc>
        <w:tc>
          <w:tcPr>
            <w:tcW w:w="6663" w:type="dxa"/>
          </w:tcPr>
          <w:p w14:paraId="275244EF" w14:textId="491106BE" w:rsidR="005A1360" w:rsidRPr="007C2EE8" w:rsidRDefault="00414262" w:rsidP="00B866B8">
            <w:pPr>
              <w:pStyle w:val="NormalBody"/>
              <w:spacing w:before="0" w:after="0"/>
              <w:cnfStyle w:val="000000000000" w:firstRow="0" w:lastRow="0" w:firstColumn="0" w:lastColumn="0" w:oddVBand="0" w:evenVBand="0" w:oddHBand="0" w:evenHBand="0" w:firstRowFirstColumn="0" w:firstRowLastColumn="0" w:lastRowFirstColumn="0" w:lastRowLastColumn="0"/>
              <w:rPr>
                <w:lang w:val="en-US"/>
              </w:rPr>
            </w:pPr>
            <w:r w:rsidRPr="007C2EE8">
              <w:rPr>
                <w:lang w:val="en-US"/>
              </w:rPr>
              <w:t>Develop modelling estimates</w:t>
            </w:r>
          </w:p>
        </w:tc>
        <w:tc>
          <w:tcPr>
            <w:tcW w:w="2403" w:type="dxa"/>
          </w:tcPr>
          <w:p w14:paraId="1A2B432B" w14:textId="77E526C5" w:rsidR="006262AE" w:rsidRPr="007C2EE8" w:rsidRDefault="00AA6C6D" w:rsidP="00B866B8">
            <w:pPr>
              <w:pStyle w:val="NormalBody"/>
              <w:spacing w:before="0" w:after="0"/>
              <w:cnfStyle w:val="000000000000" w:firstRow="0" w:lastRow="0" w:firstColumn="0" w:lastColumn="0" w:oddVBand="0" w:evenVBand="0" w:oddHBand="0" w:evenHBand="0" w:firstRowFirstColumn="0" w:firstRowLastColumn="0" w:lastRowFirstColumn="0" w:lastRowLastColumn="0"/>
              <w:rPr>
                <w:lang w:val="en-US"/>
              </w:rPr>
            </w:pPr>
            <w:r w:rsidRPr="007C2EE8">
              <w:rPr>
                <w:lang w:val="en-US"/>
              </w:rPr>
              <w:t>2</w:t>
            </w:r>
            <w:r w:rsidR="00857DAC" w:rsidRPr="007C2EE8">
              <w:rPr>
                <w:lang w:val="en-US"/>
              </w:rPr>
              <w:t xml:space="preserve"> </w:t>
            </w:r>
            <w:r w:rsidRPr="007C2EE8">
              <w:rPr>
                <w:lang w:val="en-US"/>
              </w:rPr>
              <w:t>weeks</w:t>
            </w:r>
          </w:p>
        </w:tc>
      </w:tr>
      <w:tr w:rsidR="00203484" w:rsidRPr="007C2EE8" w14:paraId="11B998CB" w14:textId="77777777" w:rsidTr="00C72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D1C5493" w14:textId="77777777" w:rsidR="00203484" w:rsidRPr="007C2EE8" w:rsidRDefault="00203484" w:rsidP="00203484">
            <w:pPr>
              <w:pStyle w:val="NormalBody"/>
              <w:spacing w:before="0" w:after="0"/>
              <w:ind w:left="360"/>
              <w:rPr>
                <w:lang w:val="en-US"/>
              </w:rPr>
            </w:pPr>
          </w:p>
        </w:tc>
        <w:tc>
          <w:tcPr>
            <w:tcW w:w="6663" w:type="dxa"/>
          </w:tcPr>
          <w:p w14:paraId="62E549AA" w14:textId="77777777" w:rsidR="00203484" w:rsidRPr="007C2EE8" w:rsidRDefault="00203484" w:rsidP="00B866B8">
            <w:pPr>
              <w:pStyle w:val="NormalBody"/>
              <w:spacing w:before="0" w:after="0"/>
              <w:cnfStyle w:val="000000100000" w:firstRow="0" w:lastRow="0" w:firstColumn="0" w:lastColumn="0" w:oddVBand="0" w:evenVBand="0" w:oddHBand="1" w:evenHBand="0" w:firstRowFirstColumn="0" w:firstRowLastColumn="0" w:lastRowFirstColumn="0" w:lastRowLastColumn="0"/>
              <w:rPr>
                <w:lang w:val="en-US"/>
              </w:rPr>
            </w:pPr>
          </w:p>
        </w:tc>
        <w:tc>
          <w:tcPr>
            <w:tcW w:w="2403" w:type="dxa"/>
          </w:tcPr>
          <w:p w14:paraId="1147FCCA" w14:textId="77777777" w:rsidR="00203484" w:rsidRPr="007C2EE8" w:rsidRDefault="00203484" w:rsidP="00B866B8">
            <w:pPr>
              <w:pStyle w:val="NormalBody"/>
              <w:spacing w:before="0" w:after="0"/>
              <w:cnfStyle w:val="000000100000" w:firstRow="0" w:lastRow="0" w:firstColumn="0" w:lastColumn="0" w:oddVBand="0" w:evenVBand="0" w:oddHBand="1" w:evenHBand="0" w:firstRowFirstColumn="0" w:firstRowLastColumn="0" w:lastRowFirstColumn="0" w:lastRowLastColumn="0"/>
              <w:rPr>
                <w:lang w:val="en-US"/>
              </w:rPr>
            </w:pPr>
          </w:p>
        </w:tc>
      </w:tr>
      <w:tr w:rsidR="006262AE" w:rsidRPr="007C2EE8" w14:paraId="6A6DD6B4" w14:textId="77777777" w:rsidTr="00C7258F">
        <w:tc>
          <w:tcPr>
            <w:cnfStyle w:val="001000000000" w:firstRow="0" w:lastRow="0" w:firstColumn="1" w:lastColumn="0" w:oddVBand="0" w:evenVBand="0" w:oddHBand="0" w:evenHBand="0" w:firstRowFirstColumn="0" w:firstRowLastColumn="0" w:lastRowFirstColumn="0" w:lastRowLastColumn="0"/>
            <w:tcW w:w="562" w:type="dxa"/>
          </w:tcPr>
          <w:p w14:paraId="0B793CFF" w14:textId="162EED15" w:rsidR="006262AE" w:rsidRPr="007C2EE8" w:rsidRDefault="008F13B0" w:rsidP="008F13B0">
            <w:pPr>
              <w:pStyle w:val="NormalBody"/>
              <w:spacing w:before="0" w:after="0"/>
              <w:rPr>
                <w:lang w:val="en-US"/>
              </w:rPr>
            </w:pPr>
            <w:r>
              <w:rPr>
                <w:lang w:val="en-US"/>
              </w:rPr>
              <w:t>6</w:t>
            </w:r>
          </w:p>
        </w:tc>
        <w:tc>
          <w:tcPr>
            <w:tcW w:w="6663" w:type="dxa"/>
          </w:tcPr>
          <w:p w14:paraId="4525B8CF" w14:textId="3191DFB1" w:rsidR="006262AE" w:rsidRPr="007C2EE8" w:rsidRDefault="00AA6C6D" w:rsidP="00B866B8">
            <w:pPr>
              <w:pStyle w:val="NormalBody"/>
              <w:spacing w:before="0" w:after="0"/>
              <w:cnfStyle w:val="000000000000" w:firstRow="0" w:lastRow="0" w:firstColumn="0" w:lastColumn="0" w:oddVBand="0" w:evenVBand="0" w:oddHBand="0" w:evenHBand="0" w:firstRowFirstColumn="0" w:firstRowLastColumn="0" w:lastRowFirstColumn="0" w:lastRowLastColumn="0"/>
              <w:rPr>
                <w:lang w:val="en-US"/>
              </w:rPr>
            </w:pPr>
            <w:r w:rsidRPr="007C2EE8">
              <w:rPr>
                <w:lang w:val="en-US"/>
              </w:rPr>
              <w:t>Develop draft policies</w:t>
            </w:r>
          </w:p>
        </w:tc>
        <w:tc>
          <w:tcPr>
            <w:tcW w:w="2403" w:type="dxa"/>
          </w:tcPr>
          <w:p w14:paraId="532FC38D" w14:textId="7B9EE410" w:rsidR="006262AE" w:rsidRPr="007C2EE8" w:rsidRDefault="006A2B21" w:rsidP="00B866B8">
            <w:pPr>
              <w:pStyle w:val="NormalBody"/>
              <w:spacing w:before="0" w:after="0"/>
              <w:cnfStyle w:val="000000000000" w:firstRow="0" w:lastRow="0" w:firstColumn="0" w:lastColumn="0" w:oddVBand="0" w:evenVBand="0" w:oddHBand="0" w:evenHBand="0" w:firstRowFirstColumn="0" w:firstRowLastColumn="0" w:lastRowFirstColumn="0" w:lastRowLastColumn="0"/>
              <w:rPr>
                <w:lang w:val="en-US"/>
              </w:rPr>
            </w:pPr>
            <w:r>
              <w:rPr>
                <w:lang w:val="en-US"/>
              </w:rPr>
              <w:t>3</w:t>
            </w:r>
            <w:r w:rsidR="008A3464" w:rsidRPr="007C2EE8">
              <w:rPr>
                <w:lang w:val="en-US"/>
              </w:rPr>
              <w:t xml:space="preserve"> </w:t>
            </w:r>
            <w:r w:rsidR="0068566F" w:rsidRPr="007C2EE8">
              <w:rPr>
                <w:lang w:val="en-US"/>
              </w:rPr>
              <w:t>weeks</w:t>
            </w:r>
          </w:p>
        </w:tc>
      </w:tr>
      <w:tr w:rsidR="00203484" w:rsidRPr="007C2EE8" w14:paraId="3671A500" w14:textId="77777777" w:rsidTr="00C72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9DE1276" w14:textId="2149EBE3" w:rsidR="00203484" w:rsidRPr="007C2EE8" w:rsidRDefault="008F13B0" w:rsidP="008F13B0">
            <w:pPr>
              <w:pStyle w:val="NormalBody"/>
              <w:spacing w:before="0" w:after="0"/>
              <w:rPr>
                <w:lang w:val="en-US"/>
              </w:rPr>
            </w:pPr>
            <w:r>
              <w:rPr>
                <w:lang w:val="en-US"/>
              </w:rPr>
              <w:t>7</w:t>
            </w:r>
          </w:p>
        </w:tc>
        <w:tc>
          <w:tcPr>
            <w:tcW w:w="6663" w:type="dxa"/>
          </w:tcPr>
          <w:p w14:paraId="677709CA" w14:textId="2E7619DD" w:rsidR="00203484" w:rsidRPr="007C2EE8" w:rsidRDefault="00063E9C" w:rsidP="00B866B8">
            <w:pPr>
              <w:pStyle w:val="NormalBody"/>
              <w:spacing w:before="0" w:after="0"/>
              <w:cnfStyle w:val="000000100000" w:firstRow="0" w:lastRow="0" w:firstColumn="0" w:lastColumn="0" w:oddVBand="0" w:evenVBand="0" w:oddHBand="1" w:evenHBand="0" w:firstRowFirstColumn="0" w:firstRowLastColumn="0" w:lastRowFirstColumn="0" w:lastRowLastColumn="0"/>
              <w:rPr>
                <w:lang w:val="en-US"/>
              </w:rPr>
            </w:pPr>
            <w:r w:rsidRPr="007C2EE8">
              <w:rPr>
                <w:lang w:val="en-US"/>
              </w:rPr>
              <w:t>Conduct Validation workshop</w:t>
            </w:r>
          </w:p>
        </w:tc>
        <w:tc>
          <w:tcPr>
            <w:tcW w:w="2403" w:type="dxa"/>
          </w:tcPr>
          <w:p w14:paraId="5CBF6AD0" w14:textId="69A8E854" w:rsidR="00203484" w:rsidRPr="007C2EE8" w:rsidRDefault="006A2B21" w:rsidP="00B866B8">
            <w:pPr>
              <w:pStyle w:val="NormalBody"/>
              <w:spacing w:before="0" w:after="0"/>
              <w:cnfStyle w:val="000000100000" w:firstRow="0" w:lastRow="0" w:firstColumn="0" w:lastColumn="0" w:oddVBand="0" w:evenVBand="0" w:oddHBand="1" w:evenHBand="0" w:firstRowFirstColumn="0" w:firstRowLastColumn="0" w:lastRowFirstColumn="0" w:lastRowLastColumn="0"/>
              <w:rPr>
                <w:lang w:val="en-US"/>
              </w:rPr>
            </w:pPr>
            <w:r>
              <w:rPr>
                <w:lang w:val="en-US"/>
              </w:rPr>
              <w:t>1 week</w:t>
            </w:r>
          </w:p>
        </w:tc>
      </w:tr>
      <w:tr w:rsidR="00AA6C6D" w:rsidRPr="007C2EE8" w14:paraId="1C0D7A29" w14:textId="77777777" w:rsidTr="00C7258F">
        <w:tc>
          <w:tcPr>
            <w:cnfStyle w:val="001000000000" w:firstRow="0" w:lastRow="0" w:firstColumn="1" w:lastColumn="0" w:oddVBand="0" w:evenVBand="0" w:oddHBand="0" w:evenHBand="0" w:firstRowFirstColumn="0" w:firstRowLastColumn="0" w:lastRowFirstColumn="0" w:lastRowLastColumn="0"/>
            <w:tcW w:w="562" w:type="dxa"/>
          </w:tcPr>
          <w:p w14:paraId="60192FC3" w14:textId="2BEB3237" w:rsidR="00AA6C6D" w:rsidRPr="007C2EE8" w:rsidRDefault="008F13B0" w:rsidP="008F13B0">
            <w:pPr>
              <w:pStyle w:val="NormalBody"/>
              <w:spacing w:before="0" w:after="0"/>
              <w:rPr>
                <w:lang w:val="en-US"/>
              </w:rPr>
            </w:pPr>
            <w:r>
              <w:rPr>
                <w:lang w:val="en-US"/>
              </w:rPr>
              <w:t>8</w:t>
            </w:r>
          </w:p>
        </w:tc>
        <w:tc>
          <w:tcPr>
            <w:tcW w:w="6663" w:type="dxa"/>
          </w:tcPr>
          <w:p w14:paraId="414A3D35" w14:textId="0243CCDB" w:rsidR="00AA6C6D" w:rsidRPr="007C2EE8" w:rsidRDefault="00685F65" w:rsidP="00B866B8">
            <w:pPr>
              <w:pStyle w:val="NormalBody"/>
              <w:spacing w:before="0" w:after="0"/>
              <w:cnfStyle w:val="000000000000" w:firstRow="0" w:lastRow="0" w:firstColumn="0" w:lastColumn="0" w:oddVBand="0" w:evenVBand="0" w:oddHBand="0" w:evenHBand="0" w:firstRowFirstColumn="0" w:firstRowLastColumn="0" w:lastRowFirstColumn="0" w:lastRowLastColumn="0"/>
              <w:rPr>
                <w:lang w:val="en-US"/>
              </w:rPr>
            </w:pPr>
            <w:r w:rsidRPr="007C2EE8">
              <w:rPr>
                <w:lang w:val="en-US"/>
              </w:rPr>
              <w:t xml:space="preserve">Training on </w:t>
            </w:r>
            <w:r w:rsidR="002753F7">
              <w:rPr>
                <w:lang w:val="en-US"/>
              </w:rPr>
              <w:t>evidence-based</w:t>
            </w:r>
            <w:r w:rsidR="00BF414B">
              <w:rPr>
                <w:lang w:val="en-US"/>
              </w:rPr>
              <w:t xml:space="preserve"> policy formulation</w:t>
            </w:r>
          </w:p>
        </w:tc>
        <w:tc>
          <w:tcPr>
            <w:tcW w:w="2403" w:type="dxa"/>
          </w:tcPr>
          <w:p w14:paraId="581AED46" w14:textId="27585714" w:rsidR="00AA6C6D" w:rsidRPr="007C2EE8" w:rsidRDefault="0068566F" w:rsidP="00B866B8">
            <w:pPr>
              <w:pStyle w:val="NormalBody"/>
              <w:spacing w:before="0" w:after="0"/>
              <w:cnfStyle w:val="000000000000" w:firstRow="0" w:lastRow="0" w:firstColumn="0" w:lastColumn="0" w:oddVBand="0" w:evenVBand="0" w:oddHBand="0" w:evenHBand="0" w:firstRowFirstColumn="0" w:firstRowLastColumn="0" w:lastRowFirstColumn="0" w:lastRowLastColumn="0"/>
              <w:rPr>
                <w:lang w:val="en-US"/>
              </w:rPr>
            </w:pPr>
            <w:r w:rsidRPr="007C2EE8">
              <w:rPr>
                <w:lang w:val="en-US"/>
              </w:rPr>
              <w:t>2 weeks</w:t>
            </w:r>
          </w:p>
        </w:tc>
      </w:tr>
      <w:tr w:rsidR="00396EED" w:rsidRPr="007C2EE8" w14:paraId="38E0111C" w14:textId="77777777" w:rsidTr="00C725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D61C5E1" w14:textId="78F23E25" w:rsidR="00396EED" w:rsidRPr="007C2EE8" w:rsidRDefault="008F13B0" w:rsidP="008F13B0">
            <w:pPr>
              <w:pStyle w:val="NormalBody"/>
              <w:spacing w:before="0" w:after="0"/>
              <w:rPr>
                <w:lang w:val="en-US"/>
              </w:rPr>
            </w:pPr>
            <w:r>
              <w:rPr>
                <w:lang w:val="en-US"/>
              </w:rPr>
              <w:t>9</w:t>
            </w:r>
          </w:p>
        </w:tc>
        <w:tc>
          <w:tcPr>
            <w:tcW w:w="6663" w:type="dxa"/>
          </w:tcPr>
          <w:p w14:paraId="5AF12952" w14:textId="7CF486D7" w:rsidR="00396EED" w:rsidRPr="007C2EE8" w:rsidRDefault="00396EED" w:rsidP="00B866B8">
            <w:pPr>
              <w:pStyle w:val="NormalBody"/>
              <w:spacing w:before="0" w:after="0"/>
              <w:cnfStyle w:val="000000100000" w:firstRow="0" w:lastRow="0" w:firstColumn="0" w:lastColumn="0" w:oddVBand="0" w:evenVBand="0" w:oddHBand="1" w:evenHBand="0" w:firstRowFirstColumn="0" w:firstRowLastColumn="0" w:lastRowFirstColumn="0" w:lastRowLastColumn="0"/>
              <w:rPr>
                <w:lang w:val="en-US"/>
              </w:rPr>
            </w:pPr>
            <w:r w:rsidRPr="007C2EE8">
              <w:rPr>
                <w:lang w:val="en-US"/>
              </w:rPr>
              <w:t>Conduct validation workshop</w:t>
            </w:r>
          </w:p>
        </w:tc>
        <w:tc>
          <w:tcPr>
            <w:tcW w:w="2403" w:type="dxa"/>
          </w:tcPr>
          <w:p w14:paraId="70CB0DDF" w14:textId="4B4411F4" w:rsidR="00396EED" w:rsidRPr="007C2EE8" w:rsidRDefault="008A3464" w:rsidP="00B866B8">
            <w:pPr>
              <w:pStyle w:val="NormalBody"/>
              <w:spacing w:before="0" w:after="0"/>
              <w:cnfStyle w:val="000000100000" w:firstRow="0" w:lastRow="0" w:firstColumn="0" w:lastColumn="0" w:oddVBand="0" w:evenVBand="0" w:oddHBand="1" w:evenHBand="0" w:firstRowFirstColumn="0" w:firstRowLastColumn="0" w:lastRowFirstColumn="0" w:lastRowLastColumn="0"/>
              <w:rPr>
                <w:lang w:val="en-US"/>
              </w:rPr>
            </w:pPr>
            <w:r w:rsidRPr="007C2EE8">
              <w:rPr>
                <w:lang w:val="en-US"/>
              </w:rPr>
              <w:t>1 week</w:t>
            </w:r>
          </w:p>
        </w:tc>
      </w:tr>
      <w:tr w:rsidR="00857DAC" w:rsidRPr="007C2EE8" w14:paraId="18C3833C" w14:textId="77777777" w:rsidTr="00C7258F">
        <w:tc>
          <w:tcPr>
            <w:cnfStyle w:val="001000000000" w:firstRow="0" w:lastRow="0" w:firstColumn="1" w:lastColumn="0" w:oddVBand="0" w:evenVBand="0" w:oddHBand="0" w:evenHBand="0" w:firstRowFirstColumn="0" w:firstRowLastColumn="0" w:lastRowFirstColumn="0" w:lastRowLastColumn="0"/>
            <w:tcW w:w="562" w:type="dxa"/>
          </w:tcPr>
          <w:p w14:paraId="4CB36884" w14:textId="5354C857" w:rsidR="00857DAC" w:rsidRPr="007C2EE8" w:rsidRDefault="00857DAC" w:rsidP="008F13B0">
            <w:pPr>
              <w:pStyle w:val="NormalBody"/>
              <w:spacing w:before="0" w:after="0"/>
              <w:rPr>
                <w:lang w:val="en-US"/>
              </w:rPr>
            </w:pPr>
          </w:p>
        </w:tc>
        <w:tc>
          <w:tcPr>
            <w:tcW w:w="6663" w:type="dxa"/>
          </w:tcPr>
          <w:p w14:paraId="19BD6D3E" w14:textId="696CA9AE" w:rsidR="00857DAC" w:rsidRPr="007C2EE8" w:rsidRDefault="00857DAC" w:rsidP="00B866B8">
            <w:pPr>
              <w:pStyle w:val="NormalBody"/>
              <w:spacing w:before="0" w:after="0"/>
              <w:cnfStyle w:val="000000000000" w:firstRow="0" w:lastRow="0" w:firstColumn="0" w:lastColumn="0" w:oddVBand="0" w:evenVBand="0" w:oddHBand="0" w:evenHBand="0" w:firstRowFirstColumn="0" w:firstRowLastColumn="0" w:lastRowFirstColumn="0" w:lastRowLastColumn="0"/>
              <w:rPr>
                <w:lang w:val="en-US"/>
              </w:rPr>
            </w:pPr>
            <w:r w:rsidRPr="007C2EE8">
              <w:rPr>
                <w:lang w:val="en-US"/>
              </w:rPr>
              <w:t>Total</w:t>
            </w:r>
          </w:p>
        </w:tc>
        <w:tc>
          <w:tcPr>
            <w:tcW w:w="2403" w:type="dxa"/>
          </w:tcPr>
          <w:p w14:paraId="13149C79" w14:textId="5DE6458E" w:rsidR="00857DAC" w:rsidRPr="007C2EE8" w:rsidRDefault="00857DAC" w:rsidP="00B866B8">
            <w:pPr>
              <w:pStyle w:val="NormalBody"/>
              <w:spacing w:before="0" w:after="0"/>
              <w:cnfStyle w:val="000000000000" w:firstRow="0" w:lastRow="0" w:firstColumn="0" w:lastColumn="0" w:oddVBand="0" w:evenVBand="0" w:oddHBand="0" w:evenHBand="0" w:firstRowFirstColumn="0" w:firstRowLastColumn="0" w:lastRowFirstColumn="0" w:lastRowLastColumn="0"/>
              <w:rPr>
                <w:lang w:val="en-US"/>
              </w:rPr>
            </w:pPr>
            <w:r w:rsidRPr="007C2EE8">
              <w:rPr>
                <w:lang w:val="en-US"/>
              </w:rPr>
              <w:t xml:space="preserve">24 weeks </w:t>
            </w:r>
          </w:p>
        </w:tc>
      </w:tr>
    </w:tbl>
    <w:p w14:paraId="062515B2" w14:textId="527C58E8" w:rsidR="00E92187" w:rsidRDefault="00507098" w:rsidP="005D3BD2">
      <w:pPr>
        <w:pStyle w:val="NormalBody"/>
        <w:rPr>
          <w:b/>
          <w:bCs/>
          <w:lang w:val="en-US"/>
        </w:rPr>
      </w:pPr>
      <w:r>
        <w:rPr>
          <w:b/>
          <w:bCs/>
          <w:lang w:val="en-US"/>
        </w:rPr>
        <w:t>Note: Some of the activities will be done concurrently.</w:t>
      </w:r>
    </w:p>
    <w:p w14:paraId="6999F61F" w14:textId="5607906B" w:rsidR="00F22893" w:rsidRPr="00015C53" w:rsidRDefault="0075768C" w:rsidP="00F22893">
      <w:pPr>
        <w:pStyle w:val="Headinglevel2"/>
        <w:rPr>
          <w:b w:val="0"/>
          <w:bCs w:val="0"/>
        </w:rPr>
      </w:pPr>
      <w:r w:rsidRPr="00015C53">
        <w:rPr>
          <w:b w:val="0"/>
          <w:bCs w:val="0"/>
        </w:rPr>
        <w:t>Deliverables</w:t>
      </w:r>
    </w:p>
    <w:p w14:paraId="259C6877" w14:textId="40AF1355" w:rsidR="006760DB" w:rsidRDefault="00F1035A" w:rsidP="00006FDE">
      <w:pPr>
        <w:pStyle w:val="NormalBody"/>
        <w:numPr>
          <w:ilvl w:val="0"/>
          <w:numId w:val="28"/>
        </w:numPr>
      </w:pPr>
      <w:r>
        <w:t>Inception report describing ho</w:t>
      </w:r>
      <w:r w:rsidR="00AF3F72">
        <w:t>w the consult</w:t>
      </w:r>
      <w:r w:rsidR="007C0DE2">
        <w:t xml:space="preserve">ing firm </w:t>
      </w:r>
      <w:r w:rsidR="00AF3F72">
        <w:t>will co</w:t>
      </w:r>
      <w:r w:rsidR="007936E6">
        <w:t xml:space="preserve">nduct the assignment including methodology, </w:t>
      </w:r>
      <w:r w:rsidR="0092409A">
        <w:t xml:space="preserve">stakeholder engagement, </w:t>
      </w:r>
      <w:r w:rsidR="009D5196">
        <w:t xml:space="preserve">data collection, </w:t>
      </w:r>
      <w:r w:rsidR="007936E6">
        <w:t xml:space="preserve">tools used </w:t>
      </w:r>
      <w:r w:rsidR="00F1067A">
        <w:t>and reporting of findings.</w:t>
      </w:r>
      <w:r w:rsidR="00D8354D">
        <w:t xml:space="preserve"> The inception report should </w:t>
      </w:r>
      <w:r w:rsidR="00E26F1C">
        <w:t>be clear on how the meta-analysis would be conducted</w:t>
      </w:r>
      <w:r w:rsidR="00900333">
        <w:t xml:space="preserve"> that includes d</w:t>
      </w:r>
      <w:r w:rsidR="00900333" w:rsidRPr="00900333">
        <w:t>efin</w:t>
      </w:r>
      <w:r w:rsidR="00900333">
        <w:t>ing the</w:t>
      </w:r>
      <w:r w:rsidR="00900333" w:rsidRPr="00900333">
        <w:t xml:space="preserve"> </w:t>
      </w:r>
      <w:r w:rsidR="00900333">
        <w:t>r</w:t>
      </w:r>
      <w:r w:rsidR="00900333" w:rsidRPr="00900333">
        <w:t xml:space="preserve">esearch </w:t>
      </w:r>
      <w:r w:rsidR="00900333">
        <w:t>s</w:t>
      </w:r>
      <w:r w:rsidR="00900333" w:rsidRPr="00900333">
        <w:t>cope</w:t>
      </w:r>
      <w:r w:rsidR="006760DB">
        <w:t xml:space="preserve">, </w:t>
      </w:r>
      <w:r w:rsidR="00900333">
        <w:t>o</w:t>
      </w:r>
      <w:r w:rsidR="00900333" w:rsidRPr="00900333">
        <w:t>bjective</w:t>
      </w:r>
      <w:r w:rsidR="006760DB">
        <w:t>s</w:t>
      </w:r>
      <w:r w:rsidR="00900333" w:rsidRPr="00900333">
        <w:t xml:space="preserve">, </w:t>
      </w:r>
      <w:r w:rsidR="006760DB">
        <w:t>l</w:t>
      </w:r>
      <w:r w:rsidR="00900333" w:rsidRPr="00900333">
        <w:t xml:space="preserve">iterature </w:t>
      </w:r>
      <w:r w:rsidR="006760DB">
        <w:t>s</w:t>
      </w:r>
      <w:r w:rsidR="00900333" w:rsidRPr="00900333">
        <w:t>earch</w:t>
      </w:r>
      <w:r w:rsidR="006760DB">
        <w:t>.</w:t>
      </w:r>
      <w:r w:rsidR="004221B8">
        <w:t xml:space="preserve"> Additionally, this should include the how the labour analysis and diagnostics</w:t>
      </w:r>
      <w:r w:rsidR="009F10D8">
        <w:t xml:space="preserve"> will be </w:t>
      </w:r>
      <w:r w:rsidR="009F10D8">
        <w:lastRenderedPageBreak/>
        <w:t xml:space="preserve">conducted. The inception </w:t>
      </w:r>
      <w:r w:rsidR="00437122">
        <w:t xml:space="preserve">report should also be clear on how the other </w:t>
      </w:r>
      <w:r w:rsidR="009F10D8">
        <w:t xml:space="preserve">body of evidence would be gathered, </w:t>
      </w:r>
      <w:r w:rsidR="008775B1">
        <w:t xml:space="preserve">and how the findings would be </w:t>
      </w:r>
      <w:r w:rsidR="009F10D8">
        <w:t>documented</w:t>
      </w:r>
      <w:r w:rsidR="008775B1">
        <w:t>, packaged</w:t>
      </w:r>
      <w:r w:rsidR="009F10D8">
        <w:t xml:space="preserve"> </w:t>
      </w:r>
      <w:r w:rsidR="008775B1">
        <w:t>into know</w:t>
      </w:r>
      <w:r w:rsidR="00002FCA">
        <w:t xml:space="preserve">ledge products </w:t>
      </w:r>
      <w:r w:rsidR="009F10D8">
        <w:t>and disseminated.</w:t>
      </w:r>
    </w:p>
    <w:p w14:paraId="0FAE26B8" w14:textId="35886555" w:rsidR="00006FDE" w:rsidRDefault="00006FDE" w:rsidP="00006FDE">
      <w:pPr>
        <w:pStyle w:val="NormalBody"/>
        <w:numPr>
          <w:ilvl w:val="0"/>
          <w:numId w:val="28"/>
        </w:numPr>
      </w:pPr>
      <w:r>
        <w:t xml:space="preserve">Meta-Analysis </w:t>
      </w:r>
      <w:r w:rsidR="00BA6108">
        <w:t xml:space="preserve">report on the </w:t>
      </w:r>
      <w:r w:rsidR="00DE7787">
        <w:t>findings</w:t>
      </w:r>
      <w:r w:rsidR="00002FCA">
        <w:t xml:space="preserve"> would be one of the documents that will be produced and</w:t>
      </w:r>
      <w:r w:rsidR="00CB2A9E">
        <w:t xml:space="preserve"> should</w:t>
      </w:r>
      <w:r w:rsidR="00017713">
        <w:t xml:space="preserve"> be</w:t>
      </w:r>
      <w:r w:rsidR="00CB2A9E">
        <w:t xml:space="preserve"> structure</w:t>
      </w:r>
      <w:r w:rsidR="00017713">
        <w:t>d</w:t>
      </w:r>
      <w:r w:rsidR="00CB2A9E">
        <w:t xml:space="preserve"> to include the following </w:t>
      </w:r>
      <w:r w:rsidR="006D4B2C">
        <w:t>subheadings:</w:t>
      </w:r>
    </w:p>
    <w:p w14:paraId="39A996F7" w14:textId="108357A4" w:rsidR="00F36EA2" w:rsidRDefault="00006FDE" w:rsidP="00BA6108">
      <w:pPr>
        <w:pStyle w:val="NormalBody"/>
        <w:numPr>
          <w:ilvl w:val="0"/>
          <w:numId w:val="34"/>
        </w:numPr>
        <w:spacing w:before="0" w:after="0"/>
      </w:pPr>
      <w:r>
        <w:t>Introduction</w:t>
      </w:r>
      <w:r w:rsidR="006D4B2C">
        <w:t xml:space="preserve"> that include</w:t>
      </w:r>
      <w:r w:rsidR="00F36EA2">
        <w:t>s</w:t>
      </w:r>
      <w:r w:rsidR="006D4B2C">
        <w:t xml:space="preserve"> the r</w:t>
      </w:r>
      <w:r>
        <w:t>esearch objecti</w:t>
      </w:r>
      <w:r w:rsidR="002D7D5B">
        <w:t>ves</w:t>
      </w:r>
    </w:p>
    <w:p w14:paraId="1BF73B63" w14:textId="6B0E4645" w:rsidR="00F36EA2" w:rsidRDefault="00006FDE" w:rsidP="00BA6108">
      <w:pPr>
        <w:pStyle w:val="NormalBody"/>
        <w:numPr>
          <w:ilvl w:val="0"/>
          <w:numId w:val="34"/>
        </w:numPr>
        <w:spacing w:before="0" w:after="0"/>
      </w:pPr>
      <w:r>
        <w:t>Methodology: Search strategy, inclusion</w:t>
      </w:r>
      <w:r w:rsidR="002D7D5B">
        <w:t>/exclusion</w:t>
      </w:r>
      <w:r>
        <w:t xml:space="preserve"> criteria.  </w:t>
      </w:r>
    </w:p>
    <w:p w14:paraId="2874B803" w14:textId="434A16E6" w:rsidR="00F36EA2" w:rsidRDefault="00006FDE" w:rsidP="00BA6108">
      <w:pPr>
        <w:pStyle w:val="NormalBody"/>
        <w:numPr>
          <w:ilvl w:val="0"/>
          <w:numId w:val="34"/>
        </w:numPr>
        <w:spacing w:before="0" w:after="0"/>
      </w:pPr>
      <w:r>
        <w:t xml:space="preserve">Results: Thematic/quantitative synthesis.  </w:t>
      </w:r>
    </w:p>
    <w:p w14:paraId="3571C8AE" w14:textId="2966C81D" w:rsidR="00F36EA2" w:rsidRDefault="00006FDE" w:rsidP="00BA6108">
      <w:pPr>
        <w:pStyle w:val="NormalBody"/>
        <w:numPr>
          <w:ilvl w:val="0"/>
          <w:numId w:val="34"/>
        </w:numPr>
        <w:spacing w:before="0" w:after="0"/>
      </w:pPr>
      <w:r>
        <w:t xml:space="preserve">Discussion: Policy implications, limitations.  </w:t>
      </w:r>
    </w:p>
    <w:p w14:paraId="364A8240" w14:textId="34AD88A8" w:rsidR="00006FDE" w:rsidRDefault="00006FDE" w:rsidP="002C23CD">
      <w:pPr>
        <w:pStyle w:val="NormalBody"/>
        <w:numPr>
          <w:ilvl w:val="0"/>
          <w:numId w:val="34"/>
        </w:numPr>
        <w:spacing w:before="0" w:after="0"/>
      </w:pPr>
      <w:r>
        <w:t xml:space="preserve">Recommendations </w:t>
      </w:r>
    </w:p>
    <w:p w14:paraId="209F568B" w14:textId="5DEAA5AC" w:rsidR="00191441" w:rsidRDefault="001A3702" w:rsidP="00396EED">
      <w:pPr>
        <w:pStyle w:val="NormalBody"/>
        <w:numPr>
          <w:ilvl w:val="0"/>
          <w:numId w:val="28"/>
        </w:numPr>
      </w:pPr>
      <w:r>
        <w:t>A least three (</w:t>
      </w:r>
      <w:r w:rsidR="006558CB">
        <w:t>3)</w:t>
      </w:r>
      <w:r w:rsidR="009D1113">
        <w:t xml:space="preserve"> policies drafted and submitted to the government </w:t>
      </w:r>
      <w:r>
        <w:t xml:space="preserve">for </w:t>
      </w:r>
      <w:r w:rsidR="004537B0">
        <w:t>their input as part of the consultative process. In addition, these will be presented at the validation workshops</w:t>
      </w:r>
      <w:r>
        <w:t xml:space="preserve"> and IEP</w:t>
      </w:r>
      <w:r w:rsidR="004537B0">
        <w:t xml:space="preserve"> for wider </w:t>
      </w:r>
      <w:r w:rsidR="00CE0433">
        <w:t>collaboration.</w:t>
      </w:r>
    </w:p>
    <w:p w14:paraId="1ED9E311" w14:textId="567BCAA1" w:rsidR="00FE3A2B" w:rsidRDefault="009B1B62" w:rsidP="00C347E5">
      <w:pPr>
        <w:pStyle w:val="NormalBody"/>
        <w:numPr>
          <w:ilvl w:val="0"/>
          <w:numId w:val="28"/>
        </w:numPr>
      </w:pPr>
      <w:r>
        <w:t>Produce a</w:t>
      </w:r>
      <w:r w:rsidR="00C347E5">
        <w:t xml:space="preserve">t least 4 policy papers </w:t>
      </w:r>
      <w:r>
        <w:t>on</w:t>
      </w:r>
      <w:r w:rsidR="00C347E5">
        <w:t xml:space="preserve"> labour market situation in the selected governorates, with a focus on women, young refugees and IDPs</w:t>
      </w:r>
      <w:r>
        <w:t xml:space="preserve">. </w:t>
      </w:r>
    </w:p>
    <w:p w14:paraId="2EA90C61" w14:textId="2239851F" w:rsidR="00C347E5" w:rsidRDefault="00FE3A2B" w:rsidP="00FE3A2B">
      <w:pPr>
        <w:pStyle w:val="ListParagraph"/>
        <w:numPr>
          <w:ilvl w:val="0"/>
          <w:numId w:val="28"/>
        </w:numPr>
      </w:pPr>
      <w:r>
        <w:t>Produce a report of the</w:t>
      </w:r>
      <w:r w:rsidRPr="00FE3A2B">
        <w:t xml:space="preserve"> labour market situation analysis and green employment diagnostics</w:t>
      </w:r>
      <w:r w:rsidR="00665BDB">
        <w:t xml:space="preserve"> following the </w:t>
      </w:r>
      <w:r w:rsidR="00830C27">
        <w:t>ILO G</w:t>
      </w:r>
      <w:r w:rsidR="00665BDB">
        <w:t>uidelines on Green Employment Diagnostics for Just Transition</w:t>
      </w:r>
      <w:r w:rsidR="00830C27">
        <w:t>.</w:t>
      </w:r>
    </w:p>
    <w:p w14:paraId="31034095" w14:textId="2CA365D0" w:rsidR="00C347E5" w:rsidRDefault="0096672A" w:rsidP="00EB29CB">
      <w:pPr>
        <w:pStyle w:val="NormalBody"/>
        <w:numPr>
          <w:ilvl w:val="0"/>
          <w:numId w:val="28"/>
        </w:numPr>
      </w:pPr>
      <w:r>
        <w:t xml:space="preserve">Labour market diagnostic and skills gaps of the green economy </w:t>
      </w:r>
      <w:r w:rsidR="00CF475B">
        <w:t xml:space="preserve">report and </w:t>
      </w:r>
      <w:r w:rsidR="00EB29CB">
        <w:t>recommendations that include developed a</w:t>
      </w:r>
      <w:r>
        <w:t xml:space="preserve">pprenticeship programmes.   </w:t>
      </w:r>
    </w:p>
    <w:p w14:paraId="0CD03F23" w14:textId="606FC5CA" w:rsidR="00811885" w:rsidRDefault="00063E9C" w:rsidP="0096672A">
      <w:pPr>
        <w:pStyle w:val="NormalBody"/>
        <w:numPr>
          <w:ilvl w:val="0"/>
          <w:numId w:val="28"/>
        </w:numPr>
      </w:pPr>
      <w:r>
        <w:t xml:space="preserve">Training report for </w:t>
      </w:r>
      <w:r w:rsidR="00811885" w:rsidRPr="00811885">
        <w:t xml:space="preserve">30 staffs from national and sub-national governorates trained on refugees, IDPs and youth responsive employment policy.  </w:t>
      </w:r>
    </w:p>
    <w:p w14:paraId="1E670A3F" w14:textId="049A6F1A" w:rsidR="00F22893" w:rsidRPr="00015C53" w:rsidRDefault="0075768C" w:rsidP="00F22893">
      <w:pPr>
        <w:pStyle w:val="Headinglevel2"/>
        <w:rPr>
          <w:b w:val="0"/>
          <w:bCs w:val="0"/>
        </w:rPr>
      </w:pPr>
      <w:r>
        <w:rPr>
          <w:b w:val="0"/>
          <w:bCs w:val="0"/>
        </w:rPr>
        <w:t>Coordination</w:t>
      </w:r>
    </w:p>
    <w:p w14:paraId="685D6CFB" w14:textId="55B7D931" w:rsidR="00D82870" w:rsidRPr="00916667" w:rsidRDefault="00F22893" w:rsidP="00F22893">
      <w:pPr>
        <w:pStyle w:val="NormalBody"/>
        <w:rPr>
          <w:sz w:val="20"/>
          <w:szCs w:val="20"/>
        </w:rPr>
      </w:pPr>
      <w:r w:rsidRPr="00916667">
        <w:rPr>
          <w:sz w:val="20"/>
          <w:szCs w:val="20"/>
        </w:rPr>
        <w:t xml:space="preserve">According to the time frame detailed below, the selected </w:t>
      </w:r>
      <w:r w:rsidR="007B53C6" w:rsidRPr="00916667">
        <w:rPr>
          <w:sz w:val="20"/>
          <w:szCs w:val="20"/>
        </w:rPr>
        <w:t>implementing partner</w:t>
      </w:r>
      <w:r w:rsidRPr="00916667">
        <w:rPr>
          <w:sz w:val="20"/>
          <w:szCs w:val="20"/>
        </w:rPr>
        <w:t xml:space="preserve"> will work under the</w:t>
      </w:r>
      <w:r w:rsidR="00890217" w:rsidRPr="00916667">
        <w:rPr>
          <w:sz w:val="20"/>
          <w:szCs w:val="20"/>
        </w:rPr>
        <w:t xml:space="preserve"> </w:t>
      </w:r>
      <w:r w:rsidR="00935C6B" w:rsidRPr="00916667">
        <w:rPr>
          <w:sz w:val="20"/>
          <w:szCs w:val="20"/>
        </w:rPr>
        <w:t xml:space="preserve">supervision of the </w:t>
      </w:r>
      <w:r w:rsidR="00890217" w:rsidRPr="00916667">
        <w:rPr>
          <w:sz w:val="20"/>
          <w:szCs w:val="20"/>
        </w:rPr>
        <w:t>Project Manager</w:t>
      </w:r>
      <w:r w:rsidR="00935C6B" w:rsidRPr="00916667">
        <w:rPr>
          <w:sz w:val="20"/>
          <w:szCs w:val="20"/>
        </w:rPr>
        <w:t xml:space="preserve"> and</w:t>
      </w:r>
      <w:r w:rsidRPr="00916667">
        <w:rPr>
          <w:sz w:val="20"/>
          <w:szCs w:val="20"/>
        </w:rPr>
        <w:t xml:space="preserve"> technical guidance of </w:t>
      </w:r>
      <w:r w:rsidR="00471102" w:rsidRPr="00916667">
        <w:rPr>
          <w:sz w:val="20"/>
          <w:szCs w:val="20"/>
        </w:rPr>
        <w:t>Sr. Employment specialist, from</w:t>
      </w:r>
      <w:r w:rsidR="00D666D0" w:rsidRPr="00916667">
        <w:rPr>
          <w:sz w:val="20"/>
          <w:szCs w:val="20"/>
        </w:rPr>
        <w:t xml:space="preserve"> Decent Work Team </w:t>
      </w:r>
      <w:r w:rsidR="00471102" w:rsidRPr="00916667">
        <w:rPr>
          <w:sz w:val="20"/>
          <w:szCs w:val="20"/>
        </w:rPr>
        <w:t>for Arab states</w:t>
      </w:r>
      <w:r w:rsidR="00D666D0" w:rsidRPr="00916667">
        <w:rPr>
          <w:sz w:val="20"/>
          <w:szCs w:val="20"/>
        </w:rPr>
        <w:t xml:space="preserve">, based </w:t>
      </w:r>
      <w:r w:rsidR="00890217" w:rsidRPr="00916667">
        <w:rPr>
          <w:sz w:val="20"/>
          <w:szCs w:val="20"/>
        </w:rPr>
        <w:t xml:space="preserve">in </w:t>
      </w:r>
      <w:r w:rsidR="00865A24">
        <w:rPr>
          <w:sz w:val="20"/>
          <w:szCs w:val="20"/>
        </w:rPr>
        <w:t>Amman</w:t>
      </w:r>
      <w:r w:rsidR="00865A24" w:rsidRPr="00916667">
        <w:rPr>
          <w:sz w:val="20"/>
          <w:szCs w:val="20"/>
        </w:rPr>
        <w:t xml:space="preserve"> </w:t>
      </w:r>
      <w:r w:rsidR="00FC02B0" w:rsidRPr="00916667">
        <w:rPr>
          <w:sz w:val="20"/>
          <w:szCs w:val="20"/>
        </w:rPr>
        <w:t>in coordinat</w:t>
      </w:r>
      <w:r w:rsidR="007571B3" w:rsidRPr="00916667">
        <w:rPr>
          <w:sz w:val="20"/>
          <w:szCs w:val="20"/>
        </w:rPr>
        <w:t>ion with</w:t>
      </w:r>
      <w:r w:rsidRPr="00916667">
        <w:rPr>
          <w:sz w:val="20"/>
          <w:szCs w:val="20"/>
        </w:rPr>
        <w:t xml:space="preserve"> the </w:t>
      </w:r>
      <w:r w:rsidR="00890217" w:rsidRPr="00916667">
        <w:rPr>
          <w:sz w:val="20"/>
          <w:szCs w:val="20"/>
        </w:rPr>
        <w:t xml:space="preserve">Country </w:t>
      </w:r>
      <w:r w:rsidR="00D30B4B" w:rsidRPr="00916667">
        <w:rPr>
          <w:sz w:val="20"/>
          <w:szCs w:val="20"/>
        </w:rPr>
        <w:t>Coordinato</w:t>
      </w:r>
      <w:r w:rsidR="00407F76" w:rsidRPr="00916667">
        <w:rPr>
          <w:sz w:val="20"/>
          <w:szCs w:val="20"/>
        </w:rPr>
        <w:t>r</w:t>
      </w:r>
      <w:r w:rsidR="00935C6B" w:rsidRPr="00916667">
        <w:rPr>
          <w:sz w:val="20"/>
          <w:szCs w:val="20"/>
        </w:rPr>
        <w:t xml:space="preserve">. </w:t>
      </w:r>
      <w:r w:rsidR="007571B3" w:rsidRPr="00916667">
        <w:rPr>
          <w:sz w:val="20"/>
          <w:szCs w:val="20"/>
        </w:rPr>
        <w:t xml:space="preserve"> </w:t>
      </w:r>
      <w:r w:rsidR="005166E7" w:rsidRPr="00916667">
        <w:rPr>
          <w:sz w:val="20"/>
          <w:szCs w:val="20"/>
        </w:rPr>
        <w:t>T</w:t>
      </w:r>
      <w:r w:rsidRPr="00916667">
        <w:rPr>
          <w:sz w:val="20"/>
          <w:szCs w:val="20"/>
        </w:rPr>
        <w:t xml:space="preserve">he </w:t>
      </w:r>
      <w:r w:rsidR="00935C6B" w:rsidRPr="00916667">
        <w:rPr>
          <w:sz w:val="20"/>
          <w:szCs w:val="20"/>
        </w:rPr>
        <w:t>implementing partner</w:t>
      </w:r>
      <w:r w:rsidR="00916667" w:rsidRPr="00916667">
        <w:rPr>
          <w:sz w:val="20"/>
          <w:szCs w:val="20"/>
        </w:rPr>
        <w:t xml:space="preserve"> </w:t>
      </w:r>
      <w:r w:rsidRPr="00916667">
        <w:rPr>
          <w:sz w:val="20"/>
          <w:szCs w:val="20"/>
        </w:rPr>
        <w:t>shall</w:t>
      </w:r>
      <w:r w:rsidR="00D82870" w:rsidRPr="00916667">
        <w:rPr>
          <w:sz w:val="20"/>
          <w:szCs w:val="20"/>
        </w:rPr>
        <w:t xml:space="preserve"> coordinate with the Chamber</w:t>
      </w:r>
      <w:r w:rsidR="007B53C6" w:rsidRPr="00916667">
        <w:rPr>
          <w:sz w:val="20"/>
          <w:szCs w:val="20"/>
        </w:rPr>
        <w:t>s</w:t>
      </w:r>
      <w:r w:rsidR="00D82870" w:rsidRPr="00916667">
        <w:rPr>
          <w:sz w:val="20"/>
          <w:szCs w:val="20"/>
        </w:rPr>
        <w:t xml:space="preserve"> of Commerce and </w:t>
      </w:r>
      <w:r w:rsidR="007B53C6" w:rsidRPr="00916667">
        <w:rPr>
          <w:sz w:val="20"/>
          <w:szCs w:val="20"/>
        </w:rPr>
        <w:t>Industries</w:t>
      </w:r>
      <w:r w:rsidR="00D82870" w:rsidRPr="00916667">
        <w:rPr>
          <w:sz w:val="20"/>
          <w:szCs w:val="20"/>
        </w:rPr>
        <w:t xml:space="preserve"> </w:t>
      </w:r>
      <w:r w:rsidR="00FE176E">
        <w:rPr>
          <w:sz w:val="20"/>
          <w:szCs w:val="20"/>
        </w:rPr>
        <w:t>and trade unions.</w:t>
      </w:r>
    </w:p>
    <w:p w14:paraId="071CF223" w14:textId="680C2147" w:rsidR="00F22893" w:rsidRPr="002D325C" w:rsidRDefault="00F22893" w:rsidP="00015C53">
      <w:pPr>
        <w:pStyle w:val="NormalBody"/>
        <w:rPr>
          <w:sz w:val="20"/>
          <w:szCs w:val="20"/>
        </w:rPr>
      </w:pPr>
      <w:r w:rsidRPr="00916667">
        <w:rPr>
          <w:sz w:val="20"/>
          <w:szCs w:val="20"/>
        </w:rPr>
        <w:t xml:space="preserve">Furthermore, the </w:t>
      </w:r>
      <w:r w:rsidR="00916667" w:rsidRPr="00916667">
        <w:rPr>
          <w:sz w:val="20"/>
          <w:szCs w:val="20"/>
        </w:rPr>
        <w:t>IP</w:t>
      </w:r>
      <w:r w:rsidRPr="00916667">
        <w:rPr>
          <w:sz w:val="20"/>
          <w:szCs w:val="20"/>
        </w:rPr>
        <w:t xml:space="preserve"> must mobilize their own resources or outsource necessary resources (including human resources) for all activities under this consultancy. ILO will not provide any additional resources, other than the technical and financial assistance to be provided by the ILO, under the contract to be signed between the ILO and the selected Consultan</w:t>
      </w:r>
      <w:r w:rsidR="00865A24">
        <w:rPr>
          <w:sz w:val="20"/>
          <w:szCs w:val="20"/>
        </w:rPr>
        <w:t>cy firm</w:t>
      </w:r>
      <w:r w:rsidRPr="00916667">
        <w:rPr>
          <w:sz w:val="20"/>
          <w:szCs w:val="20"/>
        </w:rPr>
        <w:t>. Thus, the prospective candidates for this consultancy shall submit their proposals along with detailed cost estimates for each activity.</w:t>
      </w:r>
    </w:p>
    <w:p w14:paraId="111B18A3" w14:textId="2548043F" w:rsidR="000B5E12" w:rsidRPr="00E1670D" w:rsidRDefault="00E1670D" w:rsidP="00E1670D">
      <w:pPr>
        <w:pStyle w:val="Headinglevel1"/>
        <w:pageBreakBefore w:val="0"/>
        <w:pBdr>
          <w:bottom w:val="none" w:sz="0" w:space="0" w:color="auto"/>
        </w:pBdr>
        <w:spacing w:before="240" w:after="120"/>
        <w:ind w:left="346" w:hanging="346"/>
        <w:rPr>
          <w:lang w:val="en-US"/>
        </w:rPr>
      </w:pPr>
      <w:r w:rsidRPr="00E1670D">
        <w:rPr>
          <w:lang w:val="en-US"/>
        </w:rPr>
        <w:t xml:space="preserve">Required Expertise </w:t>
      </w:r>
    </w:p>
    <w:p w14:paraId="656CE341" w14:textId="7CDA6CE8" w:rsidR="00695370" w:rsidRDefault="00556DC1" w:rsidP="00695370">
      <w:pPr>
        <w:pStyle w:val="NormalBody"/>
        <w:spacing w:before="0" w:after="0"/>
        <w:rPr>
          <w:bCs/>
          <w:sz w:val="20"/>
          <w:szCs w:val="20"/>
          <w:lang w:val="en-US"/>
        </w:rPr>
      </w:pPr>
      <w:r w:rsidRPr="005C5164">
        <w:rPr>
          <w:bCs/>
          <w:sz w:val="20"/>
          <w:szCs w:val="20"/>
          <w:lang w:val="en-US"/>
        </w:rPr>
        <w:t>T</w:t>
      </w:r>
      <w:r w:rsidR="00F11640" w:rsidRPr="005C5164">
        <w:rPr>
          <w:bCs/>
          <w:sz w:val="20"/>
          <w:szCs w:val="20"/>
          <w:lang w:val="en-US"/>
        </w:rPr>
        <w:t xml:space="preserve">he envisaged implementing partner will have the following required </w:t>
      </w:r>
      <w:r w:rsidR="008A4EED">
        <w:rPr>
          <w:bCs/>
          <w:sz w:val="20"/>
          <w:szCs w:val="20"/>
          <w:lang w:val="en-US"/>
        </w:rPr>
        <w:t>qualifications:</w:t>
      </w:r>
    </w:p>
    <w:p w14:paraId="5DA91643" w14:textId="77777777" w:rsidR="0003158E" w:rsidRDefault="0003158E" w:rsidP="0003158E">
      <w:pPr>
        <w:pStyle w:val="NormalBody"/>
        <w:spacing w:before="0" w:after="0"/>
        <w:rPr>
          <w:bCs/>
          <w:sz w:val="20"/>
          <w:szCs w:val="20"/>
          <w:lang w:val="en-US"/>
        </w:rPr>
      </w:pPr>
    </w:p>
    <w:p w14:paraId="1FB8FC01" w14:textId="28398E66" w:rsidR="008A4EED" w:rsidRPr="008A4EED" w:rsidRDefault="008A4EED" w:rsidP="008A4EED">
      <w:pPr>
        <w:pStyle w:val="NormalBody"/>
        <w:numPr>
          <w:ilvl w:val="0"/>
          <w:numId w:val="40"/>
        </w:numPr>
        <w:spacing w:before="0" w:after="0"/>
        <w:rPr>
          <w:bCs/>
          <w:sz w:val="20"/>
          <w:szCs w:val="20"/>
          <w:lang w:val="en-US"/>
        </w:rPr>
      </w:pPr>
      <w:r w:rsidRPr="008A4EED">
        <w:rPr>
          <w:bCs/>
          <w:sz w:val="20"/>
          <w:szCs w:val="20"/>
          <w:lang w:val="en-US"/>
        </w:rPr>
        <w:t>At least 10 years of experience in developing studies focusing on the public sector,</w:t>
      </w:r>
      <w:r>
        <w:rPr>
          <w:bCs/>
          <w:sz w:val="20"/>
          <w:szCs w:val="20"/>
          <w:lang w:val="en-US"/>
        </w:rPr>
        <w:t xml:space="preserve"> </w:t>
      </w:r>
      <w:r w:rsidRPr="008A4EED">
        <w:rPr>
          <w:bCs/>
          <w:sz w:val="20"/>
          <w:szCs w:val="20"/>
          <w:lang w:val="en-US"/>
        </w:rPr>
        <w:t>for instance performance, governance, labour market, and service delivery assessments in</w:t>
      </w:r>
      <w:r>
        <w:rPr>
          <w:bCs/>
          <w:sz w:val="20"/>
          <w:szCs w:val="20"/>
          <w:lang w:val="en-US"/>
        </w:rPr>
        <w:t xml:space="preserve"> </w:t>
      </w:r>
      <w:r w:rsidRPr="008A4EED">
        <w:rPr>
          <w:bCs/>
          <w:sz w:val="20"/>
          <w:szCs w:val="20"/>
          <w:lang w:val="en-US"/>
        </w:rPr>
        <w:t>complex political and economic environments. Proven success in similar projects in the Middle</w:t>
      </w:r>
      <w:r>
        <w:rPr>
          <w:bCs/>
          <w:sz w:val="20"/>
          <w:szCs w:val="20"/>
          <w:lang w:val="en-US"/>
        </w:rPr>
        <w:t xml:space="preserve"> </w:t>
      </w:r>
      <w:r w:rsidRPr="008A4EED">
        <w:rPr>
          <w:bCs/>
          <w:sz w:val="20"/>
          <w:szCs w:val="20"/>
          <w:lang w:val="en-US"/>
        </w:rPr>
        <w:t>East or other developing regions is essential.</w:t>
      </w:r>
    </w:p>
    <w:p w14:paraId="0001B88A" w14:textId="041E6B60" w:rsidR="00EE1420" w:rsidRDefault="008A4EED" w:rsidP="00EE1420">
      <w:pPr>
        <w:pStyle w:val="NormalBody"/>
        <w:numPr>
          <w:ilvl w:val="0"/>
          <w:numId w:val="40"/>
        </w:numPr>
        <w:spacing w:before="0" w:after="0"/>
        <w:rPr>
          <w:bCs/>
          <w:sz w:val="20"/>
          <w:szCs w:val="20"/>
          <w:lang w:val="en-US"/>
        </w:rPr>
      </w:pPr>
      <w:r>
        <w:rPr>
          <w:bCs/>
          <w:sz w:val="20"/>
          <w:szCs w:val="20"/>
          <w:lang w:val="en-US"/>
        </w:rPr>
        <w:t>Expertise in</w:t>
      </w:r>
      <w:r w:rsidR="00EF0770" w:rsidRPr="005C5164">
        <w:rPr>
          <w:bCs/>
          <w:sz w:val="20"/>
          <w:szCs w:val="20"/>
          <w:lang w:val="en-US"/>
        </w:rPr>
        <w:t xml:space="preserve"> advanced </w:t>
      </w:r>
      <w:r w:rsidR="00927332" w:rsidRPr="005C5164">
        <w:rPr>
          <w:bCs/>
          <w:sz w:val="20"/>
          <w:szCs w:val="20"/>
          <w:lang w:val="en-US"/>
        </w:rPr>
        <w:t>statistic</w:t>
      </w:r>
      <w:r w:rsidR="00FA36CF">
        <w:rPr>
          <w:bCs/>
          <w:sz w:val="20"/>
          <w:szCs w:val="20"/>
          <w:lang w:val="en-US"/>
        </w:rPr>
        <w:t>al knowledge</w:t>
      </w:r>
      <w:r w:rsidR="00927332" w:rsidRPr="005C5164">
        <w:rPr>
          <w:bCs/>
          <w:sz w:val="20"/>
          <w:szCs w:val="20"/>
          <w:lang w:val="en-US"/>
        </w:rPr>
        <w:t xml:space="preserve">, </w:t>
      </w:r>
      <w:r w:rsidR="009A4CA5" w:rsidRPr="005C5164">
        <w:rPr>
          <w:bCs/>
          <w:sz w:val="20"/>
          <w:szCs w:val="20"/>
          <w:lang w:val="en-US"/>
        </w:rPr>
        <w:t>research methods</w:t>
      </w:r>
      <w:r w:rsidR="006C53B1" w:rsidRPr="005C5164">
        <w:rPr>
          <w:bCs/>
          <w:sz w:val="20"/>
          <w:szCs w:val="20"/>
          <w:lang w:val="en-US"/>
        </w:rPr>
        <w:t xml:space="preserve"> and analysis, </w:t>
      </w:r>
      <w:r w:rsidR="00695370">
        <w:rPr>
          <w:bCs/>
          <w:sz w:val="20"/>
          <w:szCs w:val="20"/>
          <w:lang w:val="en-US"/>
        </w:rPr>
        <w:t xml:space="preserve">consultative </w:t>
      </w:r>
      <w:r w:rsidR="00F161F7" w:rsidRPr="005C5164">
        <w:rPr>
          <w:bCs/>
          <w:sz w:val="20"/>
          <w:szCs w:val="20"/>
          <w:lang w:val="en-US"/>
        </w:rPr>
        <w:t xml:space="preserve">policy </w:t>
      </w:r>
      <w:r w:rsidR="005C5164" w:rsidRPr="005C5164">
        <w:rPr>
          <w:bCs/>
          <w:sz w:val="20"/>
          <w:szCs w:val="20"/>
          <w:lang w:val="en-US"/>
        </w:rPr>
        <w:t xml:space="preserve">and regulatory </w:t>
      </w:r>
      <w:r w:rsidR="00A72C0C" w:rsidRPr="005C5164">
        <w:rPr>
          <w:bCs/>
          <w:sz w:val="20"/>
          <w:szCs w:val="20"/>
          <w:lang w:val="en-US"/>
        </w:rPr>
        <w:t>development</w:t>
      </w:r>
      <w:r w:rsidR="00927332" w:rsidRPr="005C5164">
        <w:rPr>
          <w:bCs/>
          <w:sz w:val="20"/>
          <w:szCs w:val="20"/>
          <w:lang w:val="en-US"/>
        </w:rPr>
        <w:t>,</w:t>
      </w:r>
      <w:r w:rsidR="00E20186">
        <w:rPr>
          <w:bCs/>
          <w:sz w:val="20"/>
          <w:szCs w:val="20"/>
          <w:lang w:val="en-US"/>
        </w:rPr>
        <w:t xml:space="preserve"> </w:t>
      </w:r>
      <w:r w:rsidR="00695370">
        <w:rPr>
          <w:bCs/>
          <w:sz w:val="20"/>
          <w:szCs w:val="20"/>
          <w:lang w:val="en-US"/>
        </w:rPr>
        <w:t>demand driven skills development</w:t>
      </w:r>
      <w:r w:rsidR="00073D56">
        <w:rPr>
          <w:bCs/>
          <w:sz w:val="20"/>
          <w:szCs w:val="20"/>
          <w:lang w:val="en-US"/>
        </w:rPr>
        <w:t>, actuarial science</w:t>
      </w:r>
    </w:p>
    <w:p w14:paraId="093D4E71" w14:textId="30943404" w:rsidR="00CA1FF4" w:rsidRPr="00355D36" w:rsidRDefault="00EE1420" w:rsidP="00355D36">
      <w:pPr>
        <w:pStyle w:val="NormalBody"/>
        <w:numPr>
          <w:ilvl w:val="0"/>
          <w:numId w:val="40"/>
        </w:numPr>
        <w:spacing w:before="0" w:after="0"/>
        <w:rPr>
          <w:bCs/>
          <w:sz w:val="20"/>
          <w:szCs w:val="20"/>
          <w:lang w:val="en-US"/>
        </w:rPr>
      </w:pPr>
      <w:r w:rsidRPr="00EE1420">
        <w:rPr>
          <w:bCs/>
          <w:sz w:val="20"/>
          <w:szCs w:val="20"/>
        </w:rPr>
        <w:t xml:space="preserve">Proven experience in conducting extensive </w:t>
      </w:r>
      <w:r w:rsidR="00355D36" w:rsidRPr="00EE1420">
        <w:rPr>
          <w:bCs/>
          <w:sz w:val="20"/>
          <w:szCs w:val="20"/>
        </w:rPr>
        <w:t>research</w:t>
      </w:r>
      <w:r w:rsidRPr="00EE1420">
        <w:rPr>
          <w:bCs/>
          <w:sz w:val="20"/>
          <w:szCs w:val="20"/>
        </w:rPr>
        <w:t xml:space="preserve"> and assess including meta-analyses</w:t>
      </w:r>
      <w:r w:rsidR="00355D36">
        <w:rPr>
          <w:bCs/>
          <w:sz w:val="20"/>
          <w:szCs w:val="20"/>
          <w:lang w:val="en-US"/>
        </w:rPr>
        <w:t xml:space="preserve"> with specific e</w:t>
      </w:r>
      <w:r w:rsidR="00181747" w:rsidRPr="00355D36">
        <w:rPr>
          <w:bCs/>
          <w:sz w:val="20"/>
          <w:szCs w:val="20"/>
          <w:lang w:val="en-US"/>
        </w:rPr>
        <w:t xml:space="preserve">xperience in </w:t>
      </w:r>
      <w:r w:rsidR="00355D36">
        <w:rPr>
          <w:bCs/>
          <w:sz w:val="20"/>
          <w:szCs w:val="20"/>
          <w:lang w:val="en-US"/>
        </w:rPr>
        <w:t>l</w:t>
      </w:r>
      <w:r w:rsidR="008A4DD5" w:rsidRPr="00355D36">
        <w:rPr>
          <w:bCs/>
          <w:sz w:val="20"/>
          <w:szCs w:val="20"/>
          <w:lang w:val="en-US"/>
        </w:rPr>
        <w:t xml:space="preserve">abor </w:t>
      </w:r>
      <w:r w:rsidR="00355D36">
        <w:rPr>
          <w:bCs/>
          <w:sz w:val="20"/>
          <w:szCs w:val="20"/>
          <w:lang w:val="en-US"/>
        </w:rPr>
        <w:t>m</w:t>
      </w:r>
      <w:r w:rsidR="008A4DD5" w:rsidRPr="00355D36">
        <w:rPr>
          <w:bCs/>
          <w:sz w:val="20"/>
          <w:szCs w:val="20"/>
          <w:lang w:val="en-US"/>
        </w:rPr>
        <w:t xml:space="preserve">arket </w:t>
      </w:r>
      <w:r w:rsidR="00355D36">
        <w:rPr>
          <w:bCs/>
          <w:sz w:val="20"/>
          <w:szCs w:val="20"/>
          <w:lang w:val="en-US"/>
        </w:rPr>
        <w:t>d</w:t>
      </w:r>
      <w:r w:rsidR="008A4DD5" w:rsidRPr="00355D36">
        <w:rPr>
          <w:bCs/>
          <w:sz w:val="20"/>
          <w:szCs w:val="20"/>
          <w:lang w:val="en-US"/>
        </w:rPr>
        <w:t xml:space="preserve">ata </w:t>
      </w:r>
      <w:r w:rsidR="00355D36">
        <w:rPr>
          <w:bCs/>
          <w:sz w:val="20"/>
          <w:szCs w:val="20"/>
          <w:lang w:val="en-US"/>
        </w:rPr>
        <w:t>c</w:t>
      </w:r>
      <w:r w:rsidR="008A4DD5" w:rsidRPr="00355D36">
        <w:rPr>
          <w:bCs/>
          <w:sz w:val="20"/>
          <w:szCs w:val="20"/>
          <w:lang w:val="en-US"/>
        </w:rPr>
        <w:t>ollection</w:t>
      </w:r>
      <w:r w:rsidR="00355D36">
        <w:rPr>
          <w:bCs/>
          <w:sz w:val="20"/>
          <w:szCs w:val="20"/>
          <w:lang w:val="en-US"/>
        </w:rPr>
        <w:t xml:space="preserve"> and m</w:t>
      </w:r>
      <w:r w:rsidR="008A4DD5" w:rsidRPr="00355D36">
        <w:rPr>
          <w:bCs/>
          <w:sz w:val="20"/>
          <w:szCs w:val="20"/>
          <w:lang w:val="en-US"/>
        </w:rPr>
        <w:t>anagement</w:t>
      </w:r>
      <w:r w:rsidR="00355D36">
        <w:rPr>
          <w:bCs/>
          <w:sz w:val="20"/>
          <w:szCs w:val="20"/>
          <w:lang w:val="en-US"/>
        </w:rPr>
        <w:t>.</w:t>
      </w:r>
    </w:p>
    <w:p w14:paraId="3F865634" w14:textId="1BA3B277" w:rsidR="00C57AAF" w:rsidRPr="005C5164" w:rsidRDefault="00E20186" w:rsidP="005C5164">
      <w:pPr>
        <w:pStyle w:val="NormalBody"/>
        <w:numPr>
          <w:ilvl w:val="0"/>
          <w:numId w:val="40"/>
        </w:numPr>
        <w:spacing w:before="0" w:after="0"/>
        <w:rPr>
          <w:bCs/>
          <w:sz w:val="20"/>
          <w:szCs w:val="20"/>
          <w:lang w:val="en-US"/>
        </w:rPr>
      </w:pPr>
      <w:r>
        <w:rPr>
          <w:bCs/>
          <w:sz w:val="20"/>
          <w:szCs w:val="20"/>
          <w:lang w:val="en-US"/>
        </w:rPr>
        <w:t>Experience in c</w:t>
      </w:r>
      <w:r w:rsidR="00CA1FF4" w:rsidRPr="005C5164">
        <w:rPr>
          <w:bCs/>
          <w:sz w:val="20"/>
          <w:szCs w:val="20"/>
          <w:lang w:val="en-US"/>
        </w:rPr>
        <w:t>ombin</w:t>
      </w:r>
      <w:r>
        <w:rPr>
          <w:bCs/>
          <w:sz w:val="20"/>
          <w:szCs w:val="20"/>
          <w:lang w:val="en-US"/>
        </w:rPr>
        <w:t>ing</w:t>
      </w:r>
      <w:r w:rsidR="00C57AAF" w:rsidRPr="005C5164">
        <w:rPr>
          <w:bCs/>
          <w:sz w:val="20"/>
          <w:szCs w:val="20"/>
          <w:lang w:val="en-US"/>
        </w:rPr>
        <w:t xml:space="preserve"> </w:t>
      </w:r>
      <w:r w:rsidR="00CA1FF4" w:rsidRPr="005C5164">
        <w:rPr>
          <w:bCs/>
          <w:sz w:val="20"/>
          <w:szCs w:val="20"/>
          <w:lang w:val="en-US"/>
        </w:rPr>
        <w:t>results from different studies to identify patterns, relationships, or trends across multiple datasets.</w:t>
      </w:r>
    </w:p>
    <w:p w14:paraId="727F18D5" w14:textId="77777777" w:rsidR="006F52D0" w:rsidRDefault="00320C56" w:rsidP="006F52D0">
      <w:pPr>
        <w:pStyle w:val="NormalBody"/>
        <w:numPr>
          <w:ilvl w:val="0"/>
          <w:numId w:val="40"/>
        </w:numPr>
        <w:spacing w:before="0" w:after="0"/>
        <w:rPr>
          <w:bCs/>
          <w:sz w:val="20"/>
          <w:szCs w:val="20"/>
          <w:lang w:val="en-US"/>
        </w:rPr>
      </w:pPr>
      <w:r w:rsidRPr="00320C56">
        <w:rPr>
          <w:bCs/>
          <w:sz w:val="20"/>
          <w:szCs w:val="20"/>
          <w:lang w:val="en-US"/>
        </w:rPr>
        <w:lastRenderedPageBreak/>
        <w:t>Multidisciplinary Team</w:t>
      </w:r>
      <w:r>
        <w:rPr>
          <w:bCs/>
          <w:sz w:val="20"/>
          <w:szCs w:val="20"/>
          <w:lang w:val="en-US"/>
        </w:rPr>
        <w:t>-</w:t>
      </w:r>
      <w:r w:rsidRPr="00320C56">
        <w:rPr>
          <w:bCs/>
          <w:sz w:val="20"/>
          <w:szCs w:val="20"/>
          <w:lang w:val="en-US"/>
        </w:rPr>
        <w:t xml:space="preserve"> </w:t>
      </w:r>
      <w:r>
        <w:rPr>
          <w:bCs/>
          <w:sz w:val="20"/>
          <w:szCs w:val="20"/>
          <w:lang w:val="en-US"/>
        </w:rPr>
        <w:t>t</w:t>
      </w:r>
      <w:r w:rsidRPr="00320C56">
        <w:rPr>
          <w:bCs/>
          <w:sz w:val="20"/>
          <w:szCs w:val="20"/>
          <w:lang w:val="en-US"/>
        </w:rPr>
        <w:t>he research entity must assemble a highly skilled, multidisciplinary</w:t>
      </w:r>
      <w:r w:rsidR="006F52D0">
        <w:rPr>
          <w:bCs/>
          <w:sz w:val="20"/>
          <w:szCs w:val="20"/>
          <w:lang w:val="en-US"/>
        </w:rPr>
        <w:t xml:space="preserve"> </w:t>
      </w:r>
      <w:r w:rsidRPr="00320C56">
        <w:rPr>
          <w:bCs/>
          <w:sz w:val="20"/>
          <w:szCs w:val="20"/>
          <w:lang w:val="en-US"/>
        </w:rPr>
        <w:t>team with expertise in public sector management, economics, data analysis, and governance</w:t>
      </w:r>
      <w:r w:rsidR="006F52D0">
        <w:rPr>
          <w:bCs/>
          <w:sz w:val="20"/>
          <w:szCs w:val="20"/>
          <w:lang w:val="en-US"/>
        </w:rPr>
        <w:t xml:space="preserve"> </w:t>
      </w:r>
      <w:r w:rsidRPr="006F52D0">
        <w:rPr>
          <w:bCs/>
          <w:sz w:val="20"/>
          <w:szCs w:val="20"/>
          <w:lang w:val="en-US"/>
        </w:rPr>
        <w:t>reforms, as well as qualified and trained data collectors’ team on ground to complete the data</w:t>
      </w:r>
      <w:r w:rsidR="006F52D0">
        <w:rPr>
          <w:bCs/>
          <w:sz w:val="20"/>
          <w:szCs w:val="20"/>
          <w:lang w:val="en-US"/>
        </w:rPr>
        <w:t xml:space="preserve"> </w:t>
      </w:r>
      <w:r w:rsidRPr="006F52D0">
        <w:rPr>
          <w:bCs/>
          <w:sz w:val="20"/>
          <w:szCs w:val="20"/>
          <w:lang w:val="en-US"/>
        </w:rPr>
        <w:t xml:space="preserve">collection part and they </w:t>
      </w:r>
      <w:proofErr w:type="gramStart"/>
      <w:r w:rsidRPr="006F52D0">
        <w:rPr>
          <w:bCs/>
          <w:sz w:val="20"/>
          <w:szCs w:val="20"/>
          <w:lang w:val="en-US"/>
        </w:rPr>
        <w:t>have to</w:t>
      </w:r>
      <w:proofErr w:type="gramEnd"/>
      <w:r w:rsidR="006F52D0">
        <w:rPr>
          <w:bCs/>
          <w:sz w:val="20"/>
          <w:szCs w:val="20"/>
          <w:lang w:val="en-US"/>
        </w:rPr>
        <w:t xml:space="preserve"> have</w:t>
      </w:r>
      <w:r w:rsidRPr="006F52D0">
        <w:rPr>
          <w:bCs/>
          <w:sz w:val="20"/>
          <w:szCs w:val="20"/>
          <w:lang w:val="en-US"/>
        </w:rPr>
        <w:t xml:space="preserve"> full knowledge about the concept of the study.</w:t>
      </w:r>
    </w:p>
    <w:p w14:paraId="3AAC6E21" w14:textId="23CC5FAC" w:rsidR="00CA1FF4" w:rsidRPr="006F52D0" w:rsidRDefault="00EE1420" w:rsidP="006F52D0">
      <w:pPr>
        <w:pStyle w:val="NormalBody"/>
        <w:numPr>
          <w:ilvl w:val="0"/>
          <w:numId w:val="40"/>
        </w:numPr>
        <w:spacing w:before="0" w:after="0"/>
        <w:rPr>
          <w:bCs/>
          <w:sz w:val="20"/>
          <w:szCs w:val="20"/>
          <w:lang w:val="en-US"/>
        </w:rPr>
      </w:pPr>
      <w:r w:rsidRPr="006F52D0">
        <w:rPr>
          <w:bCs/>
          <w:sz w:val="20"/>
          <w:szCs w:val="20"/>
          <w:lang w:val="en-US"/>
        </w:rPr>
        <w:t>The Implementing partner should have among staff some with demonstrated q</w:t>
      </w:r>
      <w:r w:rsidR="006124C6" w:rsidRPr="006F52D0">
        <w:rPr>
          <w:bCs/>
          <w:sz w:val="20"/>
          <w:szCs w:val="20"/>
          <w:lang w:val="en-US"/>
        </w:rPr>
        <w:t xml:space="preserve">uantitative and </w:t>
      </w:r>
      <w:r w:rsidRPr="006F52D0">
        <w:rPr>
          <w:bCs/>
          <w:sz w:val="20"/>
          <w:szCs w:val="20"/>
          <w:lang w:val="en-US"/>
        </w:rPr>
        <w:t>e</w:t>
      </w:r>
      <w:r w:rsidR="006124C6" w:rsidRPr="006F52D0">
        <w:rPr>
          <w:bCs/>
          <w:sz w:val="20"/>
          <w:szCs w:val="20"/>
          <w:lang w:val="en-US"/>
        </w:rPr>
        <w:t xml:space="preserve">conometric </w:t>
      </w:r>
      <w:r w:rsidRPr="006F52D0">
        <w:rPr>
          <w:bCs/>
          <w:sz w:val="20"/>
          <w:szCs w:val="20"/>
          <w:lang w:val="en-US"/>
        </w:rPr>
        <w:t>s</w:t>
      </w:r>
      <w:r w:rsidR="006124C6" w:rsidRPr="006F52D0">
        <w:rPr>
          <w:bCs/>
          <w:sz w:val="20"/>
          <w:szCs w:val="20"/>
          <w:lang w:val="en-US"/>
        </w:rPr>
        <w:t>kills</w:t>
      </w:r>
      <w:r w:rsidR="001E35AB" w:rsidRPr="006F52D0">
        <w:rPr>
          <w:bCs/>
          <w:sz w:val="20"/>
          <w:szCs w:val="20"/>
          <w:lang w:val="en-US"/>
        </w:rPr>
        <w:t xml:space="preserve"> and strong documentation and presentation skills</w:t>
      </w:r>
    </w:p>
    <w:p w14:paraId="671F814A" w14:textId="57236131" w:rsidR="00F11640" w:rsidRDefault="00F11640" w:rsidP="00F11640">
      <w:pPr>
        <w:pStyle w:val="NormalBody"/>
        <w:numPr>
          <w:ilvl w:val="0"/>
          <w:numId w:val="40"/>
        </w:numPr>
        <w:spacing w:before="0" w:after="0"/>
        <w:rPr>
          <w:bCs/>
          <w:sz w:val="20"/>
          <w:szCs w:val="20"/>
          <w:lang w:val="en-US"/>
        </w:rPr>
      </w:pPr>
      <w:r w:rsidRPr="000140E3">
        <w:rPr>
          <w:bCs/>
          <w:sz w:val="20"/>
          <w:szCs w:val="20"/>
        </w:rPr>
        <w:t xml:space="preserve">Proven competencies </w:t>
      </w:r>
      <w:r w:rsidR="00F20E4A" w:rsidRPr="000140E3">
        <w:rPr>
          <w:bCs/>
          <w:sz w:val="20"/>
          <w:szCs w:val="20"/>
        </w:rPr>
        <w:t xml:space="preserve">which include </w:t>
      </w:r>
      <w:r w:rsidR="000140E3" w:rsidRPr="000140E3">
        <w:rPr>
          <w:bCs/>
          <w:sz w:val="20"/>
          <w:szCs w:val="20"/>
        </w:rPr>
        <w:t>i) u</w:t>
      </w:r>
      <w:r w:rsidR="00F20E4A" w:rsidRPr="000140E3">
        <w:rPr>
          <w:bCs/>
          <w:sz w:val="20"/>
          <w:szCs w:val="20"/>
        </w:rPr>
        <w:t>nderstanding of the policy development process</w:t>
      </w:r>
      <w:r w:rsidR="00054B01">
        <w:rPr>
          <w:bCs/>
          <w:sz w:val="20"/>
          <w:szCs w:val="20"/>
        </w:rPr>
        <w:t>;</w:t>
      </w:r>
      <w:r w:rsidR="00F20E4A" w:rsidRPr="000140E3">
        <w:rPr>
          <w:bCs/>
          <w:sz w:val="20"/>
          <w:szCs w:val="20"/>
        </w:rPr>
        <w:t xml:space="preserve"> </w:t>
      </w:r>
      <w:r w:rsidR="000140E3" w:rsidRPr="000140E3">
        <w:rPr>
          <w:bCs/>
          <w:sz w:val="20"/>
          <w:szCs w:val="20"/>
        </w:rPr>
        <w:t xml:space="preserve">ii) </w:t>
      </w:r>
      <w:r w:rsidR="000140E3" w:rsidRPr="000140E3">
        <w:rPr>
          <w:bCs/>
          <w:sz w:val="20"/>
          <w:szCs w:val="20"/>
          <w:lang w:val="en-US"/>
        </w:rPr>
        <w:t xml:space="preserve">facilitatory skills and strong </w:t>
      </w:r>
      <w:r w:rsidR="00054B01">
        <w:rPr>
          <w:bCs/>
          <w:sz w:val="20"/>
          <w:szCs w:val="20"/>
          <w:lang w:val="en-US"/>
        </w:rPr>
        <w:t>st</w:t>
      </w:r>
      <w:r w:rsidR="000140E3" w:rsidRPr="000140E3">
        <w:rPr>
          <w:bCs/>
          <w:sz w:val="20"/>
          <w:szCs w:val="20"/>
          <w:lang w:val="en-US"/>
        </w:rPr>
        <w:t>akeholder engagement</w:t>
      </w:r>
      <w:r w:rsidR="00054B01">
        <w:rPr>
          <w:bCs/>
          <w:sz w:val="20"/>
          <w:szCs w:val="20"/>
          <w:lang w:val="en-US"/>
        </w:rPr>
        <w:t xml:space="preserve"> and communication; </w:t>
      </w:r>
      <w:r w:rsidR="002F2A0A">
        <w:rPr>
          <w:bCs/>
          <w:sz w:val="20"/>
          <w:szCs w:val="20"/>
          <w:lang w:val="en-US"/>
        </w:rPr>
        <w:t xml:space="preserve">and </w:t>
      </w:r>
      <w:r w:rsidR="00054B01">
        <w:rPr>
          <w:bCs/>
          <w:sz w:val="20"/>
          <w:szCs w:val="20"/>
          <w:lang w:val="en-US"/>
        </w:rPr>
        <w:t>iii)</w:t>
      </w:r>
      <w:r w:rsidR="002F2A0A" w:rsidRPr="002F2A0A">
        <w:t xml:space="preserve"> </w:t>
      </w:r>
      <w:r w:rsidR="002F2A0A">
        <w:t xml:space="preserve">critical </w:t>
      </w:r>
      <w:r w:rsidR="002F2A0A">
        <w:rPr>
          <w:bCs/>
          <w:sz w:val="20"/>
          <w:szCs w:val="20"/>
          <w:lang w:val="en-US"/>
        </w:rPr>
        <w:t>t</w:t>
      </w:r>
      <w:r w:rsidR="002F2A0A" w:rsidRPr="002F2A0A">
        <w:rPr>
          <w:bCs/>
          <w:sz w:val="20"/>
          <w:szCs w:val="20"/>
          <w:lang w:val="en-US"/>
        </w:rPr>
        <w:t xml:space="preserve">hinking and </w:t>
      </w:r>
      <w:r w:rsidR="002F2A0A">
        <w:rPr>
          <w:bCs/>
          <w:sz w:val="20"/>
          <w:szCs w:val="20"/>
          <w:lang w:val="en-US"/>
        </w:rPr>
        <w:t>p</w:t>
      </w:r>
      <w:r w:rsidR="002F2A0A" w:rsidRPr="002F2A0A">
        <w:rPr>
          <w:bCs/>
          <w:sz w:val="20"/>
          <w:szCs w:val="20"/>
          <w:lang w:val="en-US"/>
        </w:rPr>
        <w:t>roblem-</w:t>
      </w:r>
      <w:r w:rsidR="002F2A0A">
        <w:rPr>
          <w:bCs/>
          <w:sz w:val="20"/>
          <w:szCs w:val="20"/>
          <w:lang w:val="en-US"/>
        </w:rPr>
        <w:t>s</w:t>
      </w:r>
      <w:r w:rsidR="002F2A0A" w:rsidRPr="002F2A0A">
        <w:rPr>
          <w:bCs/>
          <w:sz w:val="20"/>
          <w:szCs w:val="20"/>
          <w:lang w:val="en-US"/>
        </w:rPr>
        <w:t>olving</w:t>
      </w:r>
      <w:r w:rsidR="002F2A0A">
        <w:rPr>
          <w:bCs/>
          <w:sz w:val="20"/>
          <w:szCs w:val="20"/>
          <w:lang w:val="en-US"/>
        </w:rPr>
        <w:t>.</w:t>
      </w:r>
    </w:p>
    <w:p w14:paraId="247975BA" w14:textId="77777777" w:rsidR="00CC3F16" w:rsidRDefault="00CC3F16" w:rsidP="00CC3F16">
      <w:pPr>
        <w:pStyle w:val="NormalBody"/>
        <w:spacing w:before="0" w:after="0"/>
        <w:rPr>
          <w:bCs/>
          <w:sz w:val="20"/>
          <w:szCs w:val="20"/>
          <w:lang w:val="en-US"/>
        </w:rPr>
      </w:pPr>
    </w:p>
    <w:p w14:paraId="72FEA4CA" w14:textId="65C7373A" w:rsidR="00CC3F16" w:rsidRPr="000140E3" w:rsidRDefault="00CC3F16" w:rsidP="00CC3F16">
      <w:pPr>
        <w:pStyle w:val="NormalBody"/>
        <w:spacing w:before="0" w:after="0"/>
        <w:rPr>
          <w:bCs/>
          <w:sz w:val="20"/>
          <w:szCs w:val="20"/>
          <w:lang w:val="en-US"/>
        </w:rPr>
      </w:pPr>
      <w:r w:rsidRPr="00CC3F16">
        <w:rPr>
          <w:b/>
          <w:sz w:val="20"/>
          <w:szCs w:val="20"/>
          <w:lang w:val="en-US"/>
        </w:rPr>
        <w:t>References:</w:t>
      </w:r>
      <w:r w:rsidRPr="00CC3F16">
        <w:rPr>
          <w:bCs/>
          <w:sz w:val="20"/>
          <w:szCs w:val="20"/>
          <w:lang w:val="en-US"/>
        </w:rPr>
        <w:t xml:space="preserve"> A portfolio of at least 3 similar projects, with references validating the organization’s</w:t>
      </w:r>
      <w:r>
        <w:rPr>
          <w:bCs/>
          <w:sz w:val="20"/>
          <w:szCs w:val="20"/>
          <w:lang w:val="en-US"/>
        </w:rPr>
        <w:t xml:space="preserve"> experience.</w:t>
      </w:r>
    </w:p>
    <w:p w14:paraId="7628FB78" w14:textId="77777777" w:rsidR="008F591E" w:rsidRDefault="008F591E" w:rsidP="000B5E12">
      <w:pPr>
        <w:pStyle w:val="NormalBody"/>
        <w:spacing w:before="0" w:after="0"/>
        <w:rPr>
          <w:bCs/>
          <w:lang w:val="en-US"/>
        </w:rPr>
      </w:pPr>
    </w:p>
    <w:p w14:paraId="2509779B" w14:textId="54E8F40A" w:rsidR="00085ED1" w:rsidRPr="00B4619F" w:rsidRDefault="00B4619F" w:rsidP="00B4619F">
      <w:pPr>
        <w:pStyle w:val="Headinglevel1"/>
        <w:pageBreakBefore w:val="0"/>
        <w:pBdr>
          <w:bottom w:val="none" w:sz="0" w:space="0" w:color="auto"/>
        </w:pBdr>
        <w:spacing w:before="240" w:after="120"/>
        <w:ind w:left="346" w:hanging="346"/>
        <w:rPr>
          <w:lang w:val="en-US"/>
        </w:rPr>
      </w:pPr>
      <w:r w:rsidRPr="00B4619F">
        <w:rPr>
          <w:lang w:val="en-US"/>
        </w:rPr>
        <w:t xml:space="preserve">Selection Criteria </w:t>
      </w:r>
      <w:r>
        <w:rPr>
          <w:lang w:val="en-US"/>
        </w:rPr>
        <w:t>o</w:t>
      </w:r>
      <w:r w:rsidRPr="00B4619F">
        <w:rPr>
          <w:lang w:val="en-US"/>
        </w:rPr>
        <w:t xml:space="preserve">f </w:t>
      </w:r>
      <w:r w:rsidR="00617476">
        <w:rPr>
          <w:lang w:val="en-US"/>
        </w:rPr>
        <w:t>t</w:t>
      </w:r>
      <w:r w:rsidRPr="00B4619F">
        <w:rPr>
          <w:lang w:val="en-US"/>
        </w:rPr>
        <w:t>he Implemen</w:t>
      </w:r>
      <w:r>
        <w:rPr>
          <w:lang w:val="en-US"/>
        </w:rPr>
        <w:t>t</w:t>
      </w:r>
      <w:r w:rsidRPr="00B4619F">
        <w:rPr>
          <w:lang w:val="en-US"/>
        </w:rPr>
        <w:t>ing Partner</w:t>
      </w:r>
    </w:p>
    <w:p w14:paraId="2B4FC369" w14:textId="77777777" w:rsidR="00085ED1" w:rsidRDefault="00085ED1" w:rsidP="000B5E12">
      <w:pPr>
        <w:pStyle w:val="NormalBody"/>
        <w:spacing w:before="0" w:after="0"/>
        <w:rPr>
          <w:bCs/>
          <w:lang w:val="en-US"/>
        </w:rPr>
      </w:pPr>
    </w:p>
    <w:p w14:paraId="58F5AE8A" w14:textId="77777777" w:rsidR="00085ED1" w:rsidRPr="00EE0E17" w:rsidRDefault="00085ED1" w:rsidP="00085ED1">
      <w:pPr>
        <w:pStyle w:val="ListParagraph"/>
        <w:numPr>
          <w:ilvl w:val="0"/>
          <w:numId w:val="37"/>
        </w:numPr>
        <w:spacing w:before="0" w:after="160" w:line="259" w:lineRule="auto"/>
        <w:rPr>
          <w:sz w:val="20"/>
          <w:szCs w:val="20"/>
        </w:rPr>
      </w:pPr>
      <w:r w:rsidRPr="00EE0E17">
        <w:rPr>
          <w:sz w:val="20"/>
          <w:szCs w:val="20"/>
        </w:rPr>
        <w:t xml:space="preserve">Be a legal Organization duly registered. </w:t>
      </w:r>
    </w:p>
    <w:p w14:paraId="6435C95C" w14:textId="77777777" w:rsidR="00085ED1" w:rsidRPr="00EE0E17" w:rsidRDefault="00085ED1" w:rsidP="001C3FD7">
      <w:pPr>
        <w:pStyle w:val="ListParagraph"/>
        <w:numPr>
          <w:ilvl w:val="1"/>
          <w:numId w:val="37"/>
        </w:numPr>
        <w:spacing w:before="0" w:after="160" w:line="259" w:lineRule="auto"/>
        <w:jc w:val="both"/>
        <w:rPr>
          <w:sz w:val="20"/>
          <w:szCs w:val="20"/>
        </w:rPr>
      </w:pPr>
      <w:r w:rsidRPr="00EE0E17">
        <w:rPr>
          <w:sz w:val="20"/>
          <w:szCs w:val="20"/>
        </w:rPr>
        <w:t>Organizations carrying out non-profit oriented work, including non-governmental organizations (NGOs), foundations, research institutions, statistical institutions, educational institutions (including universities), intergovernmental organizations created by an act of international law, and any other entities of a similar nature to those listed in this subparagraph.</w:t>
      </w:r>
    </w:p>
    <w:p w14:paraId="7E7AB778" w14:textId="77777777" w:rsidR="00085ED1" w:rsidRPr="00EE0E17" w:rsidRDefault="00085ED1" w:rsidP="001C3FD7">
      <w:pPr>
        <w:pStyle w:val="ListParagraph"/>
        <w:numPr>
          <w:ilvl w:val="1"/>
          <w:numId w:val="37"/>
        </w:numPr>
        <w:spacing w:before="0" w:after="160" w:line="259" w:lineRule="auto"/>
        <w:jc w:val="both"/>
        <w:rPr>
          <w:sz w:val="20"/>
          <w:szCs w:val="20"/>
        </w:rPr>
      </w:pPr>
      <w:r w:rsidRPr="00EE0E17">
        <w:rPr>
          <w:sz w:val="20"/>
          <w:szCs w:val="20"/>
        </w:rPr>
        <w:t>constituents of the ILO and/or an affiliated member of such a constituent, including governmental, employers’ and workers’ organizations</w:t>
      </w:r>
    </w:p>
    <w:p w14:paraId="44DD69C2" w14:textId="0A767FF8" w:rsidR="00085ED1" w:rsidRPr="00EE0E17" w:rsidRDefault="00085ED1" w:rsidP="001C3FD7">
      <w:pPr>
        <w:pStyle w:val="ListParagraph"/>
        <w:numPr>
          <w:ilvl w:val="0"/>
          <w:numId w:val="37"/>
        </w:numPr>
        <w:spacing w:before="0" w:after="160" w:line="259" w:lineRule="auto"/>
        <w:jc w:val="both"/>
        <w:rPr>
          <w:sz w:val="20"/>
          <w:szCs w:val="20"/>
        </w:rPr>
      </w:pPr>
      <w:r w:rsidRPr="00EE0E17">
        <w:rPr>
          <w:sz w:val="20"/>
          <w:szCs w:val="20"/>
        </w:rPr>
        <w:t xml:space="preserve">Have a demonstrated active presence and </w:t>
      </w:r>
      <w:r w:rsidRPr="00EE0E17">
        <w:rPr>
          <w:rFonts w:cstheme="minorHAnsi"/>
          <w:sz w:val="20"/>
          <w:szCs w:val="20"/>
          <w:lang w:eastAsia="en-GB"/>
        </w:rPr>
        <w:t>strong work foundations and previous experiences</w:t>
      </w:r>
      <w:r w:rsidR="00EE0E17">
        <w:rPr>
          <w:rFonts w:cstheme="minorHAnsi"/>
          <w:sz w:val="20"/>
          <w:szCs w:val="20"/>
          <w:lang w:eastAsia="en-GB"/>
        </w:rPr>
        <w:t>.</w:t>
      </w:r>
    </w:p>
    <w:p w14:paraId="7D2F185B" w14:textId="77777777" w:rsidR="00085ED1" w:rsidRPr="00EE0E17" w:rsidRDefault="00085ED1" w:rsidP="00085ED1">
      <w:pPr>
        <w:pStyle w:val="ListParagraph"/>
        <w:numPr>
          <w:ilvl w:val="0"/>
          <w:numId w:val="37"/>
        </w:numPr>
        <w:spacing w:before="0" w:after="0" w:line="259" w:lineRule="auto"/>
        <w:jc w:val="both"/>
        <w:rPr>
          <w:sz w:val="20"/>
          <w:szCs w:val="20"/>
        </w:rPr>
      </w:pPr>
      <w:r w:rsidRPr="00EE0E17">
        <w:rPr>
          <w:sz w:val="20"/>
          <w:szCs w:val="20"/>
        </w:rPr>
        <w:t>Willingness to be truly inclusive of all and to practice non-discrimination in selecting trainees, hiring staff and providing support to specific groups as needed so the participants can successfully participate and complete the programme and be employed or self-employed.</w:t>
      </w:r>
    </w:p>
    <w:p w14:paraId="12C655F2" w14:textId="77777777" w:rsidR="00085ED1" w:rsidRPr="00EE0E17" w:rsidRDefault="00085ED1" w:rsidP="00085ED1">
      <w:pPr>
        <w:numPr>
          <w:ilvl w:val="0"/>
          <w:numId w:val="37"/>
        </w:numPr>
        <w:spacing w:before="0" w:after="60" w:line="240" w:lineRule="auto"/>
        <w:ind w:left="714" w:hanging="357"/>
        <w:jc w:val="lowKashida"/>
        <w:rPr>
          <w:rFonts w:cstheme="minorHAnsi"/>
          <w:sz w:val="20"/>
          <w:szCs w:val="20"/>
          <w:lang w:eastAsia="en-GB"/>
        </w:rPr>
      </w:pPr>
      <w:r w:rsidRPr="00EE0E17">
        <w:rPr>
          <w:sz w:val="20"/>
          <w:szCs w:val="20"/>
        </w:rPr>
        <w:t xml:space="preserve">Have the requisite qualified </w:t>
      </w:r>
      <w:r w:rsidRPr="00EE0E17">
        <w:rPr>
          <w:rFonts w:cstheme="minorHAnsi"/>
          <w:sz w:val="20"/>
          <w:szCs w:val="20"/>
          <w:lang w:eastAsia="en-GB"/>
        </w:rPr>
        <w:t xml:space="preserve">competent personnel/staff for both management and technical related works </w:t>
      </w:r>
      <w:r w:rsidRPr="00EE0E17">
        <w:rPr>
          <w:sz w:val="20"/>
          <w:szCs w:val="20"/>
        </w:rPr>
        <w:t xml:space="preserve">with the infrastructure and administrative and logistical support for undertaking the specific activities in the project. </w:t>
      </w:r>
    </w:p>
    <w:p w14:paraId="5DDBD431" w14:textId="375E25C8" w:rsidR="00085ED1" w:rsidRPr="00EE0E17" w:rsidRDefault="00085ED1" w:rsidP="00085ED1">
      <w:pPr>
        <w:numPr>
          <w:ilvl w:val="0"/>
          <w:numId w:val="37"/>
        </w:numPr>
        <w:spacing w:before="0" w:after="60" w:line="240" w:lineRule="auto"/>
        <w:ind w:left="714" w:hanging="357"/>
        <w:jc w:val="lowKashida"/>
        <w:rPr>
          <w:rFonts w:cstheme="minorHAnsi"/>
          <w:sz w:val="20"/>
          <w:szCs w:val="20"/>
          <w:lang w:eastAsia="en-GB"/>
        </w:rPr>
      </w:pPr>
      <w:r w:rsidRPr="00EE0E17">
        <w:rPr>
          <w:rFonts w:cstheme="minorHAnsi"/>
          <w:sz w:val="20"/>
          <w:szCs w:val="20"/>
          <w:lang w:eastAsia="en-GB"/>
        </w:rPr>
        <w:t xml:space="preserve">Strong relations, linkages, and collaborations </w:t>
      </w:r>
      <w:r w:rsidRPr="00EE0E17">
        <w:rPr>
          <w:sz w:val="20"/>
          <w:szCs w:val="20"/>
        </w:rPr>
        <w:t>with the government and non-government institutions focusing</w:t>
      </w:r>
      <w:r w:rsidR="004714BA">
        <w:rPr>
          <w:sz w:val="20"/>
          <w:szCs w:val="20"/>
        </w:rPr>
        <w:t xml:space="preserve"> labour policy development, skills development and employment generation.</w:t>
      </w:r>
    </w:p>
    <w:p w14:paraId="55684D3E" w14:textId="77777777" w:rsidR="00085ED1" w:rsidRPr="00EE0E17" w:rsidRDefault="00085ED1" w:rsidP="00085ED1">
      <w:pPr>
        <w:pStyle w:val="ListParagraph"/>
        <w:numPr>
          <w:ilvl w:val="0"/>
          <w:numId w:val="37"/>
        </w:numPr>
        <w:spacing w:before="0" w:after="160" w:line="259" w:lineRule="auto"/>
        <w:jc w:val="both"/>
        <w:rPr>
          <w:sz w:val="20"/>
          <w:szCs w:val="20"/>
        </w:rPr>
      </w:pPr>
      <w:r w:rsidRPr="00EE0E17">
        <w:rPr>
          <w:sz w:val="20"/>
          <w:szCs w:val="20"/>
        </w:rPr>
        <w:t xml:space="preserve">Demonstrated financial reliability and accountability, and an established and effective system of accounts/audits. </w:t>
      </w:r>
    </w:p>
    <w:p w14:paraId="1D681D84" w14:textId="6A528E17" w:rsidR="00085ED1" w:rsidRPr="00EE0E17" w:rsidRDefault="00085ED1" w:rsidP="00085ED1">
      <w:pPr>
        <w:pStyle w:val="ListParagraph"/>
        <w:numPr>
          <w:ilvl w:val="0"/>
          <w:numId w:val="37"/>
        </w:numPr>
        <w:spacing w:before="0" w:after="0" w:line="259" w:lineRule="auto"/>
        <w:jc w:val="both"/>
        <w:rPr>
          <w:sz w:val="20"/>
          <w:szCs w:val="20"/>
        </w:rPr>
      </w:pPr>
      <w:r w:rsidRPr="00EE0E17">
        <w:rPr>
          <w:rFonts w:cstheme="minorHAnsi"/>
          <w:sz w:val="20"/>
          <w:szCs w:val="20"/>
          <w:lang w:eastAsia="en-GB"/>
        </w:rPr>
        <w:t>Working with ILO and/or knowledge of the ILO approaches, tools and methodologies for skills will be an asset</w:t>
      </w:r>
      <w:r w:rsidR="004714BA">
        <w:rPr>
          <w:rFonts w:cstheme="minorHAnsi"/>
          <w:sz w:val="20"/>
          <w:szCs w:val="20"/>
          <w:lang w:eastAsia="en-GB"/>
        </w:rPr>
        <w:t>.</w:t>
      </w:r>
    </w:p>
    <w:p w14:paraId="603117AC" w14:textId="60150736" w:rsidR="00085ED1" w:rsidRPr="004714BA" w:rsidRDefault="00085ED1" w:rsidP="004714BA">
      <w:pPr>
        <w:pStyle w:val="ListParagraph"/>
        <w:numPr>
          <w:ilvl w:val="0"/>
          <w:numId w:val="37"/>
        </w:numPr>
        <w:spacing w:before="0" w:after="0" w:line="259" w:lineRule="auto"/>
        <w:jc w:val="both"/>
        <w:rPr>
          <w:sz w:val="20"/>
          <w:szCs w:val="20"/>
        </w:rPr>
      </w:pPr>
      <w:r w:rsidRPr="00EE0E17">
        <w:rPr>
          <w:sz w:val="20"/>
          <w:szCs w:val="20"/>
        </w:rPr>
        <w:t>Willingness to comply with the ILO reporting and evaluation systems.</w:t>
      </w:r>
    </w:p>
    <w:p w14:paraId="566616D2" w14:textId="77777777" w:rsidR="00085ED1" w:rsidRPr="00EE0E17" w:rsidRDefault="00085ED1" w:rsidP="00085ED1">
      <w:pPr>
        <w:numPr>
          <w:ilvl w:val="0"/>
          <w:numId w:val="37"/>
        </w:numPr>
        <w:spacing w:before="0" w:after="60" w:line="240" w:lineRule="auto"/>
        <w:ind w:left="714" w:hanging="357"/>
        <w:jc w:val="lowKashida"/>
        <w:rPr>
          <w:rFonts w:cstheme="minorHAnsi"/>
          <w:sz w:val="20"/>
          <w:szCs w:val="20"/>
          <w:lang w:eastAsia="en-GB"/>
        </w:rPr>
      </w:pPr>
      <w:r w:rsidRPr="00EE0E17">
        <w:rPr>
          <w:rFonts w:cstheme="minorHAnsi"/>
          <w:sz w:val="20"/>
          <w:szCs w:val="20"/>
          <w:lang w:eastAsia="en-GB"/>
        </w:rPr>
        <w:t xml:space="preserve">Required expertise given above </w:t>
      </w:r>
    </w:p>
    <w:p w14:paraId="12C2E2CF" w14:textId="77777777" w:rsidR="00085ED1" w:rsidRDefault="00085ED1" w:rsidP="000B5E12">
      <w:pPr>
        <w:pStyle w:val="NormalBody"/>
        <w:spacing w:before="0" w:after="0"/>
        <w:rPr>
          <w:bCs/>
          <w:lang w:val="en-US"/>
        </w:rPr>
      </w:pPr>
    </w:p>
    <w:p w14:paraId="4BC50A7A" w14:textId="4FA0A7EA" w:rsidR="004616D1" w:rsidRPr="001046F5" w:rsidRDefault="001046F5" w:rsidP="001046F5">
      <w:pPr>
        <w:pStyle w:val="Headinglevel2"/>
        <w:rPr>
          <w:b w:val="0"/>
          <w:bCs w:val="0"/>
        </w:rPr>
      </w:pPr>
      <w:r w:rsidRPr="001046F5">
        <w:rPr>
          <w:b w:val="0"/>
          <w:bCs w:val="0"/>
        </w:rPr>
        <w:t>Technical Proposal (70%)</w:t>
      </w:r>
    </w:p>
    <w:p w14:paraId="26DC8DAB" w14:textId="77777777" w:rsidR="001046F5" w:rsidRDefault="001046F5" w:rsidP="00927FA6">
      <w:pPr>
        <w:pStyle w:val="NormalBody"/>
        <w:spacing w:before="0" w:after="0"/>
        <w:rPr>
          <w:bCs/>
          <w:lang w:val="en-US"/>
        </w:rPr>
      </w:pPr>
    </w:p>
    <w:p w14:paraId="16055532" w14:textId="78F695C5" w:rsidR="00927FA6" w:rsidRPr="001046F5" w:rsidRDefault="00927FA6" w:rsidP="00927FA6">
      <w:pPr>
        <w:pStyle w:val="NormalBody"/>
        <w:spacing w:before="0" w:after="0"/>
        <w:rPr>
          <w:bCs/>
          <w:sz w:val="20"/>
          <w:szCs w:val="20"/>
          <w:lang w:val="en-US"/>
        </w:rPr>
      </w:pPr>
      <w:r w:rsidRPr="001046F5">
        <w:rPr>
          <w:bCs/>
          <w:sz w:val="20"/>
          <w:szCs w:val="20"/>
          <w:lang w:val="en-US"/>
        </w:rPr>
        <w:t>The Technical proposal will contain 70% weight, whereas Technical Evaluation passing score is 50%.</w:t>
      </w:r>
    </w:p>
    <w:p w14:paraId="3A6AD886" w14:textId="16EDA379" w:rsidR="00927FA6" w:rsidRPr="001046F5" w:rsidRDefault="00927FA6" w:rsidP="001046F5">
      <w:pPr>
        <w:pStyle w:val="NormalBody"/>
        <w:numPr>
          <w:ilvl w:val="0"/>
          <w:numId w:val="44"/>
        </w:numPr>
        <w:spacing w:before="0" w:after="0"/>
        <w:rPr>
          <w:bCs/>
          <w:sz w:val="20"/>
          <w:szCs w:val="20"/>
          <w:lang w:val="en-US"/>
        </w:rPr>
      </w:pPr>
      <w:r w:rsidRPr="001046F5">
        <w:rPr>
          <w:bCs/>
          <w:sz w:val="20"/>
          <w:szCs w:val="20"/>
          <w:lang w:val="en-US"/>
        </w:rPr>
        <w:lastRenderedPageBreak/>
        <w:t>Any applying entity that scores less than 50% in Technical Evaluation shall not be considered for</w:t>
      </w:r>
      <w:r w:rsidR="001046F5">
        <w:rPr>
          <w:bCs/>
          <w:sz w:val="20"/>
          <w:szCs w:val="20"/>
          <w:lang w:val="en-US"/>
        </w:rPr>
        <w:t xml:space="preserve"> </w:t>
      </w:r>
      <w:r w:rsidRPr="001046F5">
        <w:rPr>
          <w:bCs/>
          <w:sz w:val="20"/>
          <w:szCs w:val="20"/>
          <w:lang w:val="en-US"/>
        </w:rPr>
        <w:t>financial evaluation. The technical proposal is expected to be submitted by the bidders in the</w:t>
      </w:r>
      <w:r w:rsidR="001046F5">
        <w:rPr>
          <w:bCs/>
          <w:sz w:val="20"/>
          <w:szCs w:val="20"/>
          <w:lang w:val="en-US"/>
        </w:rPr>
        <w:t xml:space="preserve"> </w:t>
      </w:r>
      <w:r w:rsidRPr="001046F5">
        <w:rPr>
          <w:bCs/>
          <w:sz w:val="20"/>
          <w:szCs w:val="20"/>
          <w:lang w:val="en-US"/>
        </w:rPr>
        <w:t>following structure:</w:t>
      </w:r>
    </w:p>
    <w:p w14:paraId="642EBB89" w14:textId="29D2ADF6" w:rsidR="001046F5" w:rsidRPr="00996516" w:rsidRDefault="00927FA6" w:rsidP="00996516">
      <w:pPr>
        <w:pStyle w:val="NormalBody"/>
        <w:numPr>
          <w:ilvl w:val="0"/>
          <w:numId w:val="44"/>
        </w:numPr>
        <w:spacing w:before="0" w:after="0"/>
        <w:rPr>
          <w:bCs/>
          <w:sz w:val="20"/>
          <w:szCs w:val="20"/>
          <w:lang w:val="en-US"/>
        </w:rPr>
      </w:pPr>
      <w:r w:rsidRPr="001046F5">
        <w:rPr>
          <w:bCs/>
          <w:sz w:val="20"/>
          <w:szCs w:val="20"/>
          <w:lang w:val="en-US"/>
        </w:rPr>
        <w:t>Organization’s profile demonstrat</w:t>
      </w:r>
      <w:r w:rsidR="00220513">
        <w:rPr>
          <w:bCs/>
          <w:sz w:val="20"/>
          <w:szCs w:val="20"/>
          <w:lang w:val="en-US"/>
        </w:rPr>
        <w:t xml:space="preserve">ed ability to conduct </w:t>
      </w:r>
      <w:r w:rsidR="007C52EC">
        <w:rPr>
          <w:bCs/>
          <w:sz w:val="20"/>
          <w:szCs w:val="20"/>
          <w:lang w:val="en-US"/>
        </w:rPr>
        <w:t>meta-analysis</w:t>
      </w:r>
      <w:r w:rsidRPr="001046F5">
        <w:rPr>
          <w:bCs/>
          <w:sz w:val="20"/>
          <w:szCs w:val="20"/>
          <w:lang w:val="en-US"/>
        </w:rPr>
        <w:t xml:space="preserve">, for instance, labour market, and </w:t>
      </w:r>
      <w:r w:rsidR="007C52EC">
        <w:rPr>
          <w:bCs/>
          <w:sz w:val="20"/>
          <w:szCs w:val="20"/>
          <w:lang w:val="en-US"/>
        </w:rPr>
        <w:t xml:space="preserve">conducting labour market </w:t>
      </w:r>
      <w:r w:rsidR="00220513">
        <w:rPr>
          <w:bCs/>
          <w:sz w:val="20"/>
          <w:szCs w:val="20"/>
          <w:lang w:val="en-US"/>
        </w:rPr>
        <w:t>diagnostics</w:t>
      </w:r>
      <w:r w:rsidR="007C52EC">
        <w:rPr>
          <w:bCs/>
          <w:sz w:val="20"/>
          <w:szCs w:val="20"/>
          <w:lang w:val="en-US"/>
        </w:rPr>
        <w:t xml:space="preserve"> and </w:t>
      </w:r>
      <w:r w:rsidRPr="00996516">
        <w:rPr>
          <w:bCs/>
          <w:sz w:val="20"/>
          <w:szCs w:val="20"/>
          <w:lang w:val="en-US"/>
        </w:rPr>
        <w:t>assessments in complex political and economic environments</w:t>
      </w:r>
      <w:r w:rsidR="00326415">
        <w:rPr>
          <w:bCs/>
          <w:sz w:val="20"/>
          <w:szCs w:val="20"/>
          <w:lang w:val="en-US"/>
        </w:rPr>
        <w:t xml:space="preserve"> and demonstrated ability to develop policies</w:t>
      </w:r>
      <w:r w:rsidR="00F16EED">
        <w:rPr>
          <w:bCs/>
          <w:sz w:val="20"/>
          <w:szCs w:val="20"/>
          <w:lang w:val="en-US"/>
        </w:rPr>
        <w:t xml:space="preserve"> that are </w:t>
      </w:r>
      <w:r w:rsidR="00996516" w:rsidRPr="00996516">
        <w:rPr>
          <w:bCs/>
          <w:sz w:val="20"/>
          <w:szCs w:val="20"/>
          <w:lang w:val="en-US"/>
        </w:rPr>
        <w:t xml:space="preserve">evidence based and </w:t>
      </w:r>
      <w:r w:rsidR="00D102E3">
        <w:rPr>
          <w:bCs/>
          <w:sz w:val="20"/>
          <w:szCs w:val="20"/>
          <w:lang w:val="en-US"/>
        </w:rPr>
        <w:t xml:space="preserve">to </w:t>
      </w:r>
      <w:r w:rsidR="00996516" w:rsidRPr="00996516">
        <w:rPr>
          <w:bCs/>
          <w:sz w:val="20"/>
          <w:szCs w:val="20"/>
          <w:lang w:val="en-US"/>
        </w:rPr>
        <w:t>develop modelling estimates.</w:t>
      </w:r>
    </w:p>
    <w:p w14:paraId="631A4091" w14:textId="1BA09312" w:rsidR="00927FA6" w:rsidRPr="001046F5" w:rsidRDefault="00927FA6" w:rsidP="001046F5">
      <w:pPr>
        <w:pStyle w:val="NormalBody"/>
        <w:numPr>
          <w:ilvl w:val="0"/>
          <w:numId w:val="44"/>
        </w:numPr>
        <w:spacing w:before="0" w:after="0"/>
        <w:rPr>
          <w:bCs/>
          <w:sz w:val="20"/>
          <w:szCs w:val="20"/>
          <w:lang w:val="en-US"/>
        </w:rPr>
      </w:pPr>
      <w:r w:rsidRPr="001046F5">
        <w:rPr>
          <w:bCs/>
          <w:sz w:val="20"/>
          <w:szCs w:val="20"/>
          <w:lang w:val="en-US"/>
        </w:rPr>
        <w:t>Proven success in</w:t>
      </w:r>
      <w:r w:rsidR="001046F5">
        <w:rPr>
          <w:bCs/>
          <w:sz w:val="20"/>
          <w:szCs w:val="20"/>
          <w:lang w:val="en-US"/>
        </w:rPr>
        <w:t xml:space="preserve"> </w:t>
      </w:r>
      <w:r w:rsidRPr="001046F5">
        <w:rPr>
          <w:bCs/>
          <w:sz w:val="20"/>
          <w:szCs w:val="20"/>
          <w:lang w:val="en-US"/>
        </w:rPr>
        <w:t>similar projects in the Middle East or other developing regions is essential.</w:t>
      </w:r>
    </w:p>
    <w:p w14:paraId="12159C31" w14:textId="2B87FAE3" w:rsidR="001046F5" w:rsidRPr="00DC4462" w:rsidRDefault="00927FA6" w:rsidP="00DC4462">
      <w:pPr>
        <w:pStyle w:val="NormalBody"/>
        <w:numPr>
          <w:ilvl w:val="0"/>
          <w:numId w:val="44"/>
        </w:numPr>
        <w:spacing w:before="0" w:after="0"/>
        <w:rPr>
          <w:bCs/>
          <w:sz w:val="20"/>
          <w:szCs w:val="20"/>
          <w:lang w:val="en-US"/>
        </w:rPr>
      </w:pPr>
      <w:r w:rsidRPr="001046F5">
        <w:rPr>
          <w:bCs/>
          <w:sz w:val="20"/>
          <w:szCs w:val="20"/>
          <w:lang w:val="en-US"/>
        </w:rPr>
        <w:t xml:space="preserve">Detailed description of relevant past works and assignments related </w:t>
      </w:r>
      <w:r w:rsidR="001046F5">
        <w:rPr>
          <w:bCs/>
          <w:sz w:val="20"/>
          <w:szCs w:val="20"/>
          <w:lang w:val="en-US"/>
        </w:rPr>
        <w:t xml:space="preserve">policy formation and labour market diagnostics, </w:t>
      </w:r>
      <w:r w:rsidRPr="001046F5">
        <w:rPr>
          <w:bCs/>
          <w:sz w:val="20"/>
          <w:szCs w:val="20"/>
          <w:lang w:val="en-US"/>
        </w:rPr>
        <w:t>operations in transitional or post-c</w:t>
      </w:r>
      <w:r w:rsidR="00DC4462">
        <w:rPr>
          <w:bCs/>
          <w:sz w:val="20"/>
          <w:szCs w:val="20"/>
          <w:lang w:val="en-US"/>
        </w:rPr>
        <w:t>onflict situation.</w:t>
      </w:r>
      <w:r w:rsidRPr="001046F5">
        <w:rPr>
          <w:bCs/>
          <w:sz w:val="20"/>
          <w:szCs w:val="20"/>
          <w:lang w:val="en-US"/>
        </w:rPr>
        <w:t xml:space="preserve"> </w:t>
      </w:r>
    </w:p>
    <w:p w14:paraId="63264B41" w14:textId="31973D40" w:rsidR="00927FA6" w:rsidRPr="001046F5" w:rsidRDefault="00927FA6" w:rsidP="001046F5">
      <w:pPr>
        <w:pStyle w:val="NormalBody"/>
        <w:numPr>
          <w:ilvl w:val="0"/>
          <w:numId w:val="44"/>
        </w:numPr>
        <w:spacing w:before="0" w:after="0"/>
        <w:rPr>
          <w:bCs/>
          <w:sz w:val="20"/>
          <w:szCs w:val="20"/>
          <w:lang w:val="en-US"/>
        </w:rPr>
      </w:pPr>
      <w:r w:rsidRPr="001046F5">
        <w:rPr>
          <w:bCs/>
          <w:sz w:val="20"/>
          <w:szCs w:val="20"/>
          <w:lang w:val="en-US"/>
        </w:rPr>
        <w:t>Summary of the proposed methodology, implementation plan and M&amp;E.</w:t>
      </w:r>
    </w:p>
    <w:p w14:paraId="4F21E13E" w14:textId="0248FBBB" w:rsidR="00927FA6" w:rsidRPr="001046F5" w:rsidRDefault="00927FA6" w:rsidP="001046F5">
      <w:pPr>
        <w:pStyle w:val="NormalBody"/>
        <w:numPr>
          <w:ilvl w:val="0"/>
          <w:numId w:val="44"/>
        </w:numPr>
        <w:spacing w:before="0" w:after="0"/>
        <w:rPr>
          <w:bCs/>
          <w:sz w:val="20"/>
          <w:szCs w:val="20"/>
          <w:lang w:val="en-US"/>
        </w:rPr>
      </w:pPr>
      <w:r w:rsidRPr="001046F5">
        <w:rPr>
          <w:bCs/>
          <w:sz w:val="20"/>
          <w:szCs w:val="20"/>
          <w:lang w:val="en-US"/>
        </w:rPr>
        <w:t>Detailed work plan with a timetable related to the different activities</w:t>
      </w:r>
    </w:p>
    <w:p w14:paraId="5114A529" w14:textId="4566F8DE" w:rsidR="001046F5" w:rsidRPr="00DC4462" w:rsidRDefault="00927FA6" w:rsidP="00DC4462">
      <w:pPr>
        <w:pStyle w:val="NormalBody"/>
        <w:numPr>
          <w:ilvl w:val="0"/>
          <w:numId w:val="44"/>
        </w:numPr>
        <w:spacing w:before="0" w:after="0"/>
        <w:rPr>
          <w:bCs/>
          <w:sz w:val="20"/>
          <w:szCs w:val="20"/>
          <w:lang w:val="en-US"/>
        </w:rPr>
      </w:pPr>
      <w:r w:rsidRPr="001046F5">
        <w:rPr>
          <w:bCs/>
          <w:sz w:val="20"/>
          <w:szCs w:val="20"/>
          <w:lang w:val="en-US"/>
        </w:rPr>
        <w:t>CVs of Team leader and staff involved in the project implementation demonstrating</w:t>
      </w:r>
      <w:r w:rsidR="00DC4462">
        <w:rPr>
          <w:bCs/>
          <w:sz w:val="20"/>
          <w:szCs w:val="20"/>
          <w:lang w:val="en-US"/>
        </w:rPr>
        <w:t xml:space="preserve"> </w:t>
      </w:r>
      <w:r w:rsidRPr="00DC4462">
        <w:rPr>
          <w:bCs/>
          <w:sz w:val="20"/>
          <w:szCs w:val="20"/>
          <w:lang w:val="en-US"/>
        </w:rPr>
        <w:t>their capacity to conduct the assignment</w:t>
      </w:r>
      <w:r w:rsidR="001B0E45">
        <w:rPr>
          <w:bCs/>
          <w:sz w:val="20"/>
          <w:szCs w:val="20"/>
          <w:lang w:val="en-US"/>
        </w:rPr>
        <w:t>.</w:t>
      </w:r>
    </w:p>
    <w:p w14:paraId="01B01D1F" w14:textId="1A664540" w:rsidR="004616D1" w:rsidRPr="001B0E45" w:rsidRDefault="00927FA6" w:rsidP="001B0E45">
      <w:pPr>
        <w:pStyle w:val="NormalBody"/>
        <w:numPr>
          <w:ilvl w:val="0"/>
          <w:numId w:val="44"/>
        </w:numPr>
        <w:spacing w:before="0" w:after="0"/>
        <w:rPr>
          <w:bCs/>
          <w:sz w:val="20"/>
          <w:szCs w:val="20"/>
          <w:lang w:val="en-US"/>
        </w:rPr>
      </w:pPr>
      <w:r w:rsidRPr="001046F5">
        <w:rPr>
          <w:bCs/>
          <w:sz w:val="20"/>
          <w:szCs w:val="20"/>
          <w:lang w:val="en-US"/>
        </w:rPr>
        <w:t>Foreseen challenges during the implementation of the project and mitigation</w:t>
      </w:r>
      <w:r w:rsidR="001B0E45">
        <w:rPr>
          <w:bCs/>
          <w:sz w:val="20"/>
          <w:szCs w:val="20"/>
          <w:lang w:val="en-US"/>
        </w:rPr>
        <w:t xml:space="preserve"> </w:t>
      </w:r>
      <w:r w:rsidRPr="001B0E45">
        <w:rPr>
          <w:bCs/>
          <w:sz w:val="20"/>
          <w:szCs w:val="20"/>
          <w:lang w:val="en-US"/>
        </w:rPr>
        <w:t>methods</w:t>
      </w:r>
      <w:r w:rsidR="001B0E45">
        <w:rPr>
          <w:bCs/>
          <w:sz w:val="20"/>
          <w:szCs w:val="20"/>
          <w:lang w:val="en-US"/>
        </w:rPr>
        <w:t>,</w:t>
      </w:r>
    </w:p>
    <w:p w14:paraId="7E27AD7D" w14:textId="77777777" w:rsidR="004616D1" w:rsidRDefault="004616D1" w:rsidP="000B5E12">
      <w:pPr>
        <w:pStyle w:val="NormalBody"/>
        <w:spacing w:before="0" w:after="0"/>
        <w:rPr>
          <w:bCs/>
          <w:lang w:val="en-US"/>
        </w:rPr>
      </w:pPr>
    </w:p>
    <w:p w14:paraId="3ECDA7EB" w14:textId="77777777" w:rsidR="00BB3A66" w:rsidRPr="00BB3A66" w:rsidRDefault="00BB3A66" w:rsidP="00BB3A66">
      <w:pPr>
        <w:pStyle w:val="NormalBody"/>
        <w:spacing w:before="0" w:after="0"/>
        <w:rPr>
          <w:bCs/>
          <w:lang w:val="en-US"/>
        </w:rPr>
      </w:pPr>
      <w:r w:rsidRPr="00BB3A66">
        <w:rPr>
          <w:bCs/>
          <w:lang w:val="en-US"/>
        </w:rPr>
        <w:t>The Technical proposals will be evaluated in accordance with the criteria stated below:</w:t>
      </w:r>
    </w:p>
    <w:p w14:paraId="0355EC9E" w14:textId="77777777" w:rsidR="00BB3A66" w:rsidRDefault="00BB3A66" w:rsidP="00BB3A66">
      <w:pPr>
        <w:pStyle w:val="NormalBody"/>
        <w:spacing w:before="0" w:after="0"/>
        <w:rPr>
          <w:bCs/>
          <w:lang w:val="en-US"/>
        </w:rPr>
      </w:pPr>
    </w:p>
    <w:p w14:paraId="00DE7D76" w14:textId="77777777" w:rsidR="00BB3A66" w:rsidRDefault="00BB3A66" w:rsidP="00BB3A66">
      <w:pPr>
        <w:pStyle w:val="NormalBody"/>
        <w:spacing w:before="0" w:after="0"/>
        <w:rPr>
          <w:bCs/>
          <w:lang w:val="en-US"/>
        </w:rPr>
      </w:pPr>
    </w:p>
    <w:tbl>
      <w:tblPr>
        <w:tblStyle w:val="TableGrid"/>
        <w:tblW w:w="0" w:type="auto"/>
        <w:tblLook w:val="04A0" w:firstRow="1" w:lastRow="0" w:firstColumn="1" w:lastColumn="0" w:noHBand="0" w:noVBand="1"/>
      </w:tblPr>
      <w:tblGrid>
        <w:gridCol w:w="562"/>
        <w:gridCol w:w="8364"/>
        <w:gridCol w:w="702"/>
      </w:tblGrid>
      <w:tr w:rsidR="00A40599" w14:paraId="487F2B86" w14:textId="77777777" w:rsidTr="001C1112">
        <w:tc>
          <w:tcPr>
            <w:tcW w:w="562" w:type="dxa"/>
          </w:tcPr>
          <w:p w14:paraId="6AB37F45" w14:textId="77777777" w:rsidR="00A40599" w:rsidRDefault="00A40599" w:rsidP="00BB3A66">
            <w:pPr>
              <w:pStyle w:val="NormalBody"/>
              <w:spacing w:before="0" w:after="0"/>
              <w:rPr>
                <w:bCs/>
                <w:lang w:val="en-US"/>
              </w:rPr>
            </w:pPr>
          </w:p>
        </w:tc>
        <w:tc>
          <w:tcPr>
            <w:tcW w:w="8364" w:type="dxa"/>
          </w:tcPr>
          <w:p w14:paraId="03265F39" w14:textId="02245711" w:rsidR="00A40599" w:rsidRPr="00A13CB5" w:rsidRDefault="005E763E" w:rsidP="00BB3A66">
            <w:pPr>
              <w:pStyle w:val="NormalBody"/>
              <w:spacing w:before="0" w:after="0"/>
              <w:rPr>
                <w:b/>
                <w:lang w:val="en-US"/>
              </w:rPr>
            </w:pPr>
            <w:r w:rsidRPr="00A13CB5">
              <w:rPr>
                <w:b/>
                <w:lang w:val="en-US"/>
              </w:rPr>
              <w:t>Description of Technical Evaluation</w:t>
            </w:r>
          </w:p>
        </w:tc>
        <w:tc>
          <w:tcPr>
            <w:tcW w:w="702" w:type="dxa"/>
          </w:tcPr>
          <w:p w14:paraId="721FC96C" w14:textId="77777777" w:rsidR="00A40599" w:rsidRDefault="00A40599" w:rsidP="00BB3A66">
            <w:pPr>
              <w:pStyle w:val="NormalBody"/>
              <w:spacing w:before="0" w:after="0"/>
              <w:rPr>
                <w:bCs/>
                <w:lang w:val="en-US"/>
              </w:rPr>
            </w:pPr>
          </w:p>
        </w:tc>
      </w:tr>
      <w:tr w:rsidR="00A40599" w14:paraId="27538FAE" w14:textId="77777777" w:rsidTr="001C1112">
        <w:tc>
          <w:tcPr>
            <w:tcW w:w="562" w:type="dxa"/>
          </w:tcPr>
          <w:p w14:paraId="51B584D4" w14:textId="657380DC" w:rsidR="00A40599" w:rsidRDefault="00A62DF4" w:rsidP="00BB3A66">
            <w:pPr>
              <w:pStyle w:val="NormalBody"/>
              <w:spacing w:before="0" w:after="0"/>
              <w:rPr>
                <w:bCs/>
                <w:lang w:val="en-US"/>
              </w:rPr>
            </w:pPr>
            <w:r>
              <w:rPr>
                <w:bCs/>
                <w:lang w:val="en-US"/>
              </w:rPr>
              <w:t>1</w:t>
            </w:r>
          </w:p>
        </w:tc>
        <w:tc>
          <w:tcPr>
            <w:tcW w:w="8364" w:type="dxa"/>
          </w:tcPr>
          <w:p w14:paraId="3BB587FE" w14:textId="52FD6E6D" w:rsidR="00A40599" w:rsidRDefault="00A40599" w:rsidP="00BB3A66">
            <w:pPr>
              <w:pStyle w:val="NormalBody"/>
              <w:spacing w:before="0" w:after="0"/>
              <w:rPr>
                <w:bCs/>
                <w:lang w:val="en-US"/>
              </w:rPr>
            </w:pPr>
            <w:r w:rsidRPr="00BB3A66">
              <w:rPr>
                <w:bCs/>
                <w:lang w:val="en-US"/>
              </w:rPr>
              <w:t xml:space="preserve">Relevant Experience of the research entity </w:t>
            </w:r>
            <w:r>
              <w:rPr>
                <w:bCs/>
                <w:lang w:val="en-US"/>
              </w:rPr>
              <w:tab/>
            </w:r>
          </w:p>
        </w:tc>
        <w:tc>
          <w:tcPr>
            <w:tcW w:w="702" w:type="dxa"/>
          </w:tcPr>
          <w:p w14:paraId="3E2EDFFC" w14:textId="71893BFA" w:rsidR="00A40599" w:rsidRDefault="00A62DF4" w:rsidP="00BB3A66">
            <w:pPr>
              <w:pStyle w:val="NormalBody"/>
              <w:spacing w:before="0" w:after="0"/>
              <w:rPr>
                <w:bCs/>
                <w:lang w:val="en-US"/>
              </w:rPr>
            </w:pPr>
            <w:r>
              <w:rPr>
                <w:bCs/>
                <w:lang w:val="en-US"/>
              </w:rPr>
              <w:t>20</w:t>
            </w:r>
          </w:p>
        </w:tc>
      </w:tr>
      <w:tr w:rsidR="00A40599" w14:paraId="20E67950" w14:textId="77777777" w:rsidTr="001C1112">
        <w:tc>
          <w:tcPr>
            <w:tcW w:w="562" w:type="dxa"/>
          </w:tcPr>
          <w:p w14:paraId="4BBBC47A" w14:textId="1B237009" w:rsidR="00A40599" w:rsidRDefault="00A62DF4" w:rsidP="00BB3A66">
            <w:pPr>
              <w:pStyle w:val="NormalBody"/>
              <w:spacing w:before="0" w:after="0"/>
              <w:rPr>
                <w:bCs/>
                <w:lang w:val="en-US"/>
              </w:rPr>
            </w:pPr>
            <w:r>
              <w:rPr>
                <w:bCs/>
                <w:lang w:val="en-US"/>
              </w:rPr>
              <w:t>2</w:t>
            </w:r>
          </w:p>
        </w:tc>
        <w:tc>
          <w:tcPr>
            <w:tcW w:w="8364" w:type="dxa"/>
          </w:tcPr>
          <w:p w14:paraId="7D6D53FC" w14:textId="52B452F5" w:rsidR="00A40599" w:rsidRDefault="00A62DF4" w:rsidP="00BB3A66">
            <w:pPr>
              <w:pStyle w:val="NormalBody"/>
              <w:spacing w:before="0" w:after="0"/>
              <w:rPr>
                <w:bCs/>
                <w:lang w:val="en-US"/>
              </w:rPr>
            </w:pPr>
            <w:r w:rsidRPr="00BB3A66">
              <w:rPr>
                <w:bCs/>
                <w:lang w:val="en-US"/>
              </w:rPr>
              <w:t>Previous experience in Research Methods</w:t>
            </w:r>
          </w:p>
        </w:tc>
        <w:tc>
          <w:tcPr>
            <w:tcW w:w="702" w:type="dxa"/>
          </w:tcPr>
          <w:p w14:paraId="663BD851" w14:textId="2A34F3C3" w:rsidR="00A40599" w:rsidRDefault="001C1112" w:rsidP="00BB3A66">
            <w:pPr>
              <w:pStyle w:val="NormalBody"/>
              <w:spacing w:before="0" w:after="0"/>
              <w:rPr>
                <w:bCs/>
                <w:lang w:val="en-US"/>
              </w:rPr>
            </w:pPr>
            <w:r>
              <w:rPr>
                <w:bCs/>
                <w:lang w:val="en-US"/>
              </w:rPr>
              <w:t>20</w:t>
            </w:r>
          </w:p>
        </w:tc>
      </w:tr>
      <w:tr w:rsidR="00A40599" w14:paraId="4615D524" w14:textId="77777777" w:rsidTr="001C1112">
        <w:tc>
          <w:tcPr>
            <w:tcW w:w="562" w:type="dxa"/>
          </w:tcPr>
          <w:p w14:paraId="44C8BC64" w14:textId="398DC344" w:rsidR="00A40599" w:rsidRDefault="00A62DF4" w:rsidP="00BB3A66">
            <w:pPr>
              <w:pStyle w:val="NormalBody"/>
              <w:spacing w:before="0" w:after="0"/>
              <w:rPr>
                <w:bCs/>
                <w:lang w:val="en-US"/>
              </w:rPr>
            </w:pPr>
            <w:r>
              <w:rPr>
                <w:bCs/>
                <w:lang w:val="en-US"/>
              </w:rPr>
              <w:t>3</w:t>
            </w:r>
          </w:p>
        </w:tc>
        <w:tc>
          <w:tcPr>
            <w:tcW w:w="8364" w:type="dxa"/>
          </w:tcPr>
          <w:p w14:paraId="63F0295C" w14:textId="2601864A" w:rsidR="00A40599" w:rsidRDefault="00A62DF4" w:rsidP="00BB3A66">
            <w:pPr>
              <w:pStyle w:val="NormalBody"/>
              <w:spacing w:before="0" w:after="0"/>
              <w:rPr>
                <w:bCs/>
                <w:lang w:val="en-US"/>
              </w:rPr>
            </w:pPr>
            <w:r w:rsidRPr="00BB3A66">
              <w:rPr>
                <w:bCs/>
                <w:lang w:val="en-US"/>
              </w:rPr>
              <w:t>Process of implementation (methodology and work plan)</w:t>
            </w:r>
          </w:p>
        </w:tc>
        <w:tc>
          <w:tcPr>
            <w:tcW w:w="702" w:type="dxa"/>
          </w:tcPr>
          <w:p w14:paraId="0F6F90E2" w14:textId="3C13080D" w:rsidR="00A40599" w:rsidRDefault="001C1112" w:rsidP="00BB3A66">
            <w:pPr>
              <w:pStyle w:val="NormalBody"/>
              <w:spacing w:before="0" w:after="0"/>
              <w:rPr>
                <w:bCs/>
                <w:lang w:val="en-US"/>
              </w:rPr>
            </w:pPr>
            <w:r>
              <w:rPr>
                <w:bCs/>
                <w:lang w:val="en-US"/>
              </w:rPr>
              <w:t>20</w:t>
            </w:r>
          </w:p>
        </w:tc>
      </w:tr>
      <w:tr w:rsidR="00A40599" w14:paraId="36285D46" w14:textId="77777777" w:rsidTr="001C1112">
        <w:tc>
          <w:tcPr>
            <w:tcW w:w="562" w:type="dxa"/>
          </w:tcPr>
          <w:p w14:paraId="4E9E91E8" w14:textId="0E88D1D0" w:rsidR="00A40599" w:rsidRDefault="00A62DF4" w:rsidP="00BB3A66">
            <w:pPr>
              <w:pStyle w:val="NormalBody"/>
              <w:spacing w:before="0" w:after="0"/>
              <w:rPr>
                <w:bCs/>
                <w:lang w:val="en-US"/>
              </w:rPr>
            </w:pPr>
            <w:r>
              <w:rPr>
                <w:bCs/>
                <w:lang w:val="en-US"/>
              </w:rPr>
              <w:t>4</w:t>
            </w:r>
          </w:p>
        </w:tc>
        <w:tc>
          <w:tcPr>
            <w:tcW w:w="8364" w:type="dxa"/>
          </w:tcPr>
          <w:p w14:paraId="00DD834F" w14:textId="77777777" w:rsidR="00A62DF4" w:rsidRPr="00BB3A66" w:rsidRDefault="00A62DF4" w:rsidP="00A62DF4">
            <w:pPr>
              <w:pStyle w:val="NormalBody"/>
              <w:spacing w:before="0" w:after="0"/>
              <w:rPr>
                <w:bCs/>
                <w:lang w:val="en-US"/>
              </w:rPr>
            </w:pPr>
            <w:r w:rsidRPr="00BB3A66">
              <w:rPr>
                <w:bCs/>
                <w:lang w:val="en-US"/>
              </w:rPr>
              <w:t>Human Resources proposed for the assignment (qualification and</w:t>
            </w:r>
          </w:p>
          <w:p w14:paraId="4D031DBA" w14:textId="77777777" w:rsidR="00A62DF4" w:rsidRPr="00BB3A66" w:rsidRDefault="00A62DF4" w:rsidP="00A62DF4">
            <w:pPr>
              <w:pStyle w:val="NormalBody"/>
              <w:spacing w:before="0" w:after="0"/>
              <w:rPr>
                <w:bCs/>
                <w:lang w:val="en-US"/>
              </w:rPr>
            </w:pPr>
            <w:r w:rsidRPr="00BB3A66">
              <w:rPr>
                <w:bCs/>
                <w:lang w:val="en-US"/>
              </w:rPr>
              <w:t>experience) + detailed CV</w:t>
            </w:r>
          </w:p>
          <w:p w14:paraId="3450443A" w14:textId="77777777" w:rsidR="00A40599" w:rsidRDefault="00A40599" w:rsidP="00BB3A66">
            <w:pPr>
              <w:pStyle w:val="NormalBody"/>
              <w:spacing w:before="0" w:after="0"/>
              <w:rPr>
                <w:bCs/>
                <w:lang w:val="en-US"/>
              </w:rPr>
            </w:pPr>
          </w:p>
        </w:tc>
        <w:tc>
          <w:tcPr>
            <w:tcW w:w="702" w:type="dxa"/>
          </w:tcPr>
          <w:p w14:paraId="065641D6" w14:textId="5395139C" w:rsidR="00A40599" w:rsidRDefault="001C1112" w:rsidP="00BB3A66">
            <w:pPr>
              <w:pStyle w:val="NormalBody"/>
              <w:spacing w:before="0" w:after="0"/>
              <w:rPr>
                <w:bCs/>
                <w:lang w:val="en-US"/>
              </w:rPr>
            </w:pPr>
            <w:r>
              <w:rPr>
                <w:bCs/>
                <w:lang w:val="en-US"/>
              </w:rPr>
              <w:t>10</w:t>
            </w:r>
          </w:p>
        </w:tc>
      </w:tr>
      <w:tr w:rsidR="00A40599" w14:paraId="04598011" w14:textId="77777777" w:rsidTr="001C1112">
        <w:tc>
          <w:tcPr>
            <w:tcW w:w="562" w:type="dxa"/>
          </w:tcPr>
          <w:p w14:paraId="458F188D" w14:textId="129D269A" w:rsidR="00A40599" w:rsidRDefault="00A40599" w:rsidP="00BB3A66">
            <w:pPr>
              <w:pStyle w:val="NormalBody"/>
              <w:spacing w:before="0" w:after="0"/>
              <w:rPr>
                <w:bCs/>
                <w:lang w:val="en-US"/>
              </w:rPr>
            </w:pPr>
          </w:p>
        </w:tc>
        <w:tc>
          <w:tcPr>
            <w:tcW w:w="8364" w:type="dxa"/>
          </w:tcPr>
          <w:p w14:paraId="1DADB610" w14:textId="77777777" w:rsidR="00A40599" w:rsidRDefault="00A40599" w:rsidP="00BB3A66">
            <w:pPr>
              <w:pStyle w:val="NormalBody"/>
              <w:spacing w:before="0" w:after="0"/>
              <w:rPr>
                <w:bCs/>
                <w:lang w:val="en-US"/>
              </w:rPr>
            </w:pPr>
          </w:p>
        </w:tc>
        <w:tc>
          <w:tcPr>
            <w:tcW w:w="702" w:type="dxa"/>
          </w:tcPr>
          <w:p w14:paraId="2C2E3950" w14:textId="77777777" w:rsidR="00A40599" w:rsidRDefault="00A40599" w:rsidP="00BB3A66">
            <w:pPr>
              <w:pStyle w:val="NormalBody"/>
              <w:spacing w:before="0" w:after="0"/>
              <w:rPr>
                <w:bCs/>
                <w:lang w:val="en-US"/>
              </w:rPr>
            </w:pPr>
          </w:p>
        </w:tc>
      </w:tr>
    </w:tbl>
    <w:p w14:paraId="2DD6678E" w14:textId="77777777" w:rsidR="00BB3A66" w:rsidRDefault="00BB3A66" w:rsidP="00BB3A66">
      <w:pPr>
        <w:pStyle w:val="NormalBody"/>
        <w:spacing w:before="0" w:after="0"/>
        <w:rPr>
          <w:bCs/>
          <w:lang w:val="en-US"/>
        </w:rPr>
      </w:pPr>
    </w:p>
    <w:p w14:paraId="56D07EEC" w14:textId="77777777" w:rsidR="00BB3A66" w:rsidRPr="00BB3A66" w:rsidRDefault="00BB3A66" w:rsidP="00BB3A66">
      <w:pPr>
        <w:pStyle w:val="NormalBody"/>
        <w:spacing w:before="0" w:after="0"/>
        <w:rPr>
          <w:bCs/>
          <w:lang w:val="en-US"/>
        </w:rPr>
      </w:pPr>
      <w:r w:rsidRPr="00BB3A66">
        <w:rPr>
          <w:bCs/>
          <w:lang w:val="en-US"/>
        </w:rPr>
        <w:t>Clarity of the proposal, provision of all required documentation, and innovative delivery are</w:t>
      </w:r>
    </w:p>
    <w:p w14:paraId="17A203CC" w14:textId="77777777" w:rsidR="00BB3A66" w:rsidRDefault="00BB3A66" w:rsidP="00BB3A66">
      <w:pPr>
        <w:pStyle w:val="NormalBody"/>
        <w:spacing w:before="0" w:after="0"/>
        <w:rPr>
          <w:bCs/>
          <w:lang w:val="en-US"/>
        </w:rPr>
      </w:pPr>
      <w:r w:rsidRPr="00BB3A66">
        <w:rPr>
          <w:bCs/>
          <w:lang w:val="en-US"/>
        </w:rPr>
        <w:t xml:space="preserve">considered as a </w:t>
      </w:r>
      <w:proofErr w:type="gramStart"/>
      <w:r w:rsidRPr="00BB3A66">
        <w:rPr>
          <w:bCs/>
          <w:lang w:val="en-US"/>
        </w:rPr>
        <w:t>cross cutting</w:t>
      </w:r>
      <w:proofErr w:type="gramEnd"/>
      <w:r w:rsidRPr="00BB3A66">
        <w:rPr>
          <w:bCs/>
          <w:lang w:val="en-US"/>
        </w:rPr>
        <w:t xml:space="preserve"> measurement criteria.</w:t>
      </w:r>
    </w:p>
    <w:p w14:paraId="4203CCA8" w14:textId="77777777" w:rsidR="008D3845" w:rsidRPr="00BB3A66" w:rsidRDefault="008D3845" w:rsidP="00BB3A66">
      <w:pPr>
        <w:pStyle w:val="NormalBody"/>
        <w:spacing w:before="0" w:after="0"/>
        <w:rPr>
          <w:bCs/>
          <w:lang w:val="en-US"/>
        </w:rPr>
      </w:pPr>
    </w:p>
    <w:p w14:paraId="3D785757" w14:textId="044E018B" w:rsidR="00BB3A66" w:rsidRPr="00BB3A66" w:rsidRDefault="009F5935" w:rsidP="00BB3A66">
      <w:pPr>
        <w:pStyle w:val="NormalBody"/>
        <w:spacing w:before="0" w:after="0"/>
        <w:rPr>
          <w:bCs/>
          <w:lang w:val="en-US"/>
        </w:rPr>
      </w:pPr>
      <w:r>
        <w:rPr>
          <w:rFonts w:ascii="Overpass" w:hAnsi="Overpass"/>
          <w:color w:val="FA3C4B"/>
          <w:sz w:val="30"/>
          <w:szCs w:val="30"/>
          <w:lang w:val="en-US"/>
        </w:rPr>
        <w:t>Fi</w:t>
      </w:r>
      <w:r w:rsidR="00BB3A66" w:rsidRPr="009F5935">
        <w:rPr>
          <w:rFonts w:ascii="Overpass" w:hAnsi="Overpass"/>
          <w:color w:val="FA3C4B"/>
          <w:sz w:val="30"/>
          <w:szCs w:val="30"/>
          <w:lang w:val="en-US"/>
        </w:rPr>
        <w:t>nancial Proposal (30%)</w:t>
      </w:r>
    </w:p>
    <w:p w14:paraId="4CBB8137" w14:textId="77777777" w:rsidR="00BB3A66" w:rsidRPr="00BB3A66" w:rsidRDefault="00BB3A66" w:rsidP="00BB3A66">
      <w:pPr>
        <w:pStyle w:val="NormalBody"/>
        <w:spacing w:before="0" w:after="0"/>
        <w:rPr>
          <w:bCs/>
          <w:lang w:val="en-US"/>
        </w:rPr>
      </w:pPr>
      <w:r w:rsidRPr="00BB3A66">
        <w:rPr>
          <w:bCs/>
          <w:lang w:val="en-US"/>
        </w:rPr>
        <w:t>The financial proposal will contain 30% weight. The bidders shall complete the financial proposal</w:t>
      </w:r>
    </w:p>
    <w:p w14:paraId="5059084D" w14:textId="77777777" w:rsidR="00BB3A66" w:rsidRPr="00BB3A66" w:rsidRDefault="00BB3A66" w:rsidP="00BB3A66">
      <w:pPr>
        <w:pStyle w:val="NormalBody"/>
        <w:spacing w:before="0" w:after="0"/>
        <w:rPr>
          <w:bCs/>
          <w:lang w:val="en-US"/>
        </w:rPr>
      </w:pPr>
      <w:r w:rsidRPr="00BB3A66">
        <w:rPr>
          <w:bCs/>
          <w:lang w:val="en-US"/>
        </w:rPr>
        <w:t>using an excel sheet and submit both the Excel version and the Pdf version. The financial</w:t>
      </w:r>
    </w:p>
    <w:p w14:paraId="02A04C57" w14:textId="77777777" w:rsidR="00BB3A66" w:rsidRPr="00BB3A66" w:rsidRDefault="00BB3A66" w:rsidP="00BB3A66">
      <w:pPr>
        <w:pStyle w:val="NormalBody"/>
        <w:spacing w:before="0" w:after="0"/>
        <w:rPr>
          <w:bCs/>
          <w:lang w:val="en-US"/>
        </w:rPr>
      </w:pPr>
      <w:r w:rsidRPr="00BB3A66">
        <w:rPr>
          <w:bCs/>
          <w:lang w:val="en-US"/>
        </w:rPr>
        <w:t>proposal shall demonstrate:</w:t>
      </w:r>
    </w:p>
    <w:p w14:paraId="5A9D5B54" w14:textId="79A6541A" w:rsidR="00BB3A66" w:rsidRPr="00BB3A66" w:rsidRDefault="00BB3A66" w:rsidP="006527A3">
      <w:pPr>
        <w:pStyle w:val="NormalBody"/>
        <w:numPr>
          <w:ilvl w:val="0"/>
          <w:numId w:val="45"/>
        </w:numPr>
        <w:spacing w:before="0" w:after="0"/>
        <w:rPr>
          <w:bCs/>
          <w:lang w:val="en-US"/>
        </w:rPr>
      </w:pPr>
      <w:r w:rsidRPr="00BB3A66">
        <w:rPr>
          <w:bCs/>
          <w:lang w:val="en-US"/>
        </w:rPr>
        <w:t>Activity costs (all training related costs)</w:t>
      </w:r>
    </w:p>
    <w:p w14:paraId="61C5886C" w14:textId="6BA3F0EA" w:rsidR="00BB3A66" w:rsidRPr="00BB3A66" w:rsidRDefault="00BB3A66" w:rsidP="006527A3">
      <w:pPr>
        <w:pStyle w:val="NormalBody"/>
        <w:numPr>
          <w:ilvl w:val="0"/>
          <w:numId w:val="45"/>
        </w:numPr>
        <w:spacing w:before="0" w:after="0"/>
        <w:rPr>
          <w:bCs/>
          <w:lang w:val="en-US"/>
        </w:rPr>
      </w:pPr>
      <w:r w:rsidRPr="00BB3A66">
        <w:rPr>
          <w:bCs/>
          <w:lang w:val="en-US"/>
        </w:rPr>
        <w:t>Staffing costs (team leader, coordinator, admin/fin support…)</w:t>
      </w:r>
    </w:p>
    <w:p w14:paraId="720F7F15" w14:textId="37FE9D20" w:rsidR="00BB3A66" w:rsidRPr="00BB3A66" w:rsidRDefault="00BB3A66" w:rsidP="006527A3">
      <w:pPr>
        <w:pStyle w:val="NormalBody"/>
        <w:numPr>
          <w:ilvl w:val="0"/>
          <w:numId w:val="45"/>
        </w:numPr>
        <w:spacing w:before="0" w:after="0"/>
        <w:rPr>
          <w:bCs/>
          <w:lang w:val="en-US"/>
        </w:rPr>
      </w:pPr>
      <w:r w:rsidRPr="00BB3A66">
        <w:rPr>
          <w:bCs/>
          <w:lang w:val="en-US"/>
        </w:rPr>
        <w:t>Overhead costs and other costs associated with the project (including travel,</w:t>
      </w:r>
    </w:p>
    <w:p w14:paraId="578B3F64" w14:textId="77777777" w:rsidR="00BB3A66" w:rsidRPr="00BB3A66" w:rsidRDefault="00BB3A66" w:rsidP="006527A3">
      <w:pPr>
        <w:pStyle w:val="NormalBody"/>
        <w:numPr>
          <w:ilvl w:val="0"/>
          <w:numId w:val="45"/>
        </w:numPr>
        <w:spacing w:before="0" w:after="0"/>
        <w:rPr>
          <w:bCs/>
          <w:lang w:val="en-US"/>
        </w:rPr>
      </w:pPr>
      <w:r w:rsidRPr="00BB3A66">
        <w:rPr>
          <w:bCs/>
          <w:lang w:val="en-US"/>
        </w:rPr>
        <w:t xml:space="preserve">communication, </w:t>
      </w:r>
      <w:proofErr w:type="gramStart"/>
      <w:r w:rsidRPr="00BB3A66">
        <w:rPr>
          <w:bCs/>
          <w:lang w:val="en-US"/>
        </w:rPr>
        <w:t>etc..</w:t>
      </w:r>
      <w:proofErr w:type="gramEnd"/>
      <w:r w:rsidRPr="00BB3A66">
        <w:rPr>
          <w:bCs/>
          <w:lang w:val="en-US"/>
        </w:rPr>
        <w:t>)</w:t>
      </w:r>
    </w:p>
    <w:p w14:paraId="6915A5AB" w14:textId="140BB56C" w:rsidR="00BB3A66" w:rsidRDefault="00BB3A66" w:rsidP="00BB3A66">
      <w:pPr>
        <w:pStyle w:val="NormalBody"/>
        <w:spacing w:before="0" w:after="0"/>
        <w:rPr>
          <w:bCs/>
          <w:lang w:val="en-US"/>
        </w:rPr>
      </w:pPr>
      <w:r w:rsidRPr="00BB3A66">
        <w:rPr>
          <w:bCs/>
          <w:lang w:val="en-US"/>
        </w:rPr>
        <w:t>The financial proposal will be evaluated based on price reasonableness and overall cost.</w:t>
      </w:r>
    </w:p>
    <w:p w14:paraId="487AD3D0" w14:textId="77777777" w:rsidR="00BB3A66" w:rsidRDefault="00BB3A66" w:rsidP="000B5E12">
      <w:pPr>
        <w:pStyle w:val="NormalBody"/>
        <w:spacing w:before="0" w:after="0"/>
        <w:rPr>
          <w:bCs/>
          <w:lang w:val="en-US"/>
        </w:rPr>
      </w:pPr>
    </w:p>
    <w:p w14:paraId="0465503C" w14:textId="77777777" w:rsidR="00BB3A66" w:rsidRDefault="00BB3A66" w:rsidP="000B5E12">
      <w:pPr>
        <w:pStyle w:val="NormalBody"/>
        <w:spacing w:before="0" w:after="0"/>
        <w:rPr>
          <w:bCs/>
          <w:lang w:val="en-US"/>
        </w:rPr>
      </w:pPr>
    </w:p>
    <w:p w14:paraId="1933B39B" w14:textId="77777777" w:rsidR="00BB3A66" w:rsidRDefault="00BB3A66" w:rsidP="000B5E12">
      <w:pPr>
        <w:pStyle w:val="NormalBody"/>
        <w:spacing w:before="0" w:after="0"/>
        <w:rPr>
          <w:bCs/>
          <w:lang w:val="en-US"/>
        </w:rPr>
      </w:pPr>
    </w:p>
    <w:p w14:paraId="4F668635" w14:textId="77777777" w:rsidR="00BB3A66" w:rsidRDefault="00BB3A66" w:rsidP="000B5E12">
      <w:pPr>
        <w:pStyle w:val="NormalBody"/>
        <w:spacing w:before="0" w:after="0"/>
        <w:rPr>
          <w:bCs/>
          <w:lang w:val="en-US"/>
        </w:rPr>
      </w:pPr>
    </w:p>
    <w:p w14:paraId="09F3E1FB" w14:textId="77777777" w:rsidR="00BB3A66" w:rsidRDefault="00BB3A66" w:rsidP="000B5E12">
      <w:pPr>
        <w:pStyle w:val="NormalBody"/>
        <w:spacing w:before="0" w:after="0"/>
        <w:rPr>
          <w:bCs/>
          <w:lang w:val="en-US"/>
        </w:rPr>
      </w:pPr>
    </w:p>
    <w:p w14:paraId="31AF1504" w14:textId="77777777" w:rsidR="00BB3A66" w:rsidRDefault="00BB3A66" w:rsidP="000B5E12">
      <w:pPr>
        <w:pStyle w:val="NormalBody"/>
        <w:spacing w:before="0" w:after="0"/>
        <w:rPr>
          <w:bCs/>
          <w:lang w:val="en-US"/>
        </w:rPr>
      </w:pPr>
    </w:p>
    <w:p w14:paraId="5AF77618" w14:textId="77777777" w:rsidR="00BB3A66" w:rsidRDefault="00BB3A66" w:rsidP="000B5E12">
      <w:pPr>
        <w:pStyle w:val="NormalBody"/>
        <w:spacing w:before="0" w:after="0"/>
        <w:rPr>
          <w:bCs/>
          <w:lang w:val="en-US"/>
        </w:rPr>
      </w:pPr>
    </w:p>
    <w:p w14:paraId="34A5A0F2" w14:textId="2049EAB2" w:rsidR="00085ED1" w:rsidRPr="00617476" w:rsidRDefault="00617476" w:rsidP="00617476">
      <w:pPr>
        <w:pStyle w:val="Headinglevel1"/>
        <w:pageBreakBefore w:val="0"/>
        <w:pBdr>
          <w:bottom w:val="none" w:sz="0" w:space="0" w:color="auto"/>
        </w:pBdr>
        <w:spacing w:before="240" w:after="120"/>
        <w:ind w:left="346" w:hanging="346"/>
        <w:rPr>
          <w:lang w:val="en-US"/>
        </w:rPr>
      </w:pPr>
      <w:r w:rsidRPr="00617476">
        <w:rPr>
          <w:lang w:val="en-US"/>
        </w:rPr>
        <w:lastRenderedPageBreak/>
        <w:t>Proposal Submission Procedure</w:t>
      </w:r>
    </w:p>
    <w:p w14:paraId="3A7EA2A5" w14:textId="77777777" w:rsidR="004D19B0" w:rsidRPr="00B06848" w:rsidRDefault="004D19B0" w:rsidP="004D19B0">
      <w:pPr>
        <w:pStyle w:val="NormalBody"/>
        <w:spacing w:before="0" w:after="0"/>
        <w:rPr>
          <w:bCs/>
          <w:sz w:val="20"/>
          <w:szCs w:val="20"/>
          <w:lang w:val="en-US"/>
        </w:rPr>
      </w:pPr>
      <w:r w:rsidRPr="00B06848">
        <w:rPr>
          <w:bCs/>
          <w:sz w:val="20"/>
          <w:szCs w:val="20"/>
          <w:lang w:val="en-US"/>
        </w:rPr>
        <w:t xml:space="preserve">The ILO invites technical and financial proposals from qualified organizations meeting the above criterion as stipulated in this Terms of Reference (TOR). Technically responsive and financially viable organization/entity will be chosen following ILO’s procurement rules/procedures on evaluation by ILO team of professionals. </w:t>
      </w:r>
    </w:p>
    <w:p w14:paraId="51869FAA" w14:textId="7550BD59" w:rsidR="004D19B0" w:rsidRPr="00B06848" w:rsidRDefault="004D19B0" w:rsidP="004D19B0">
      <w:pPr>
        <w:pStyle w:val="NormalBody"/>
        <w:spacing w:before="0" w:after="0"/>
        <w:rPr>
          <w:bCs/>
          <w:sz w:val="20"/>
          <w:szCs w:val="20"/>
          <w:lang w:val="en-US"/>
        </w:rPr>
      </w:pPr>
      <w:r w:rsidRPr="00B06848">
        <w:rPr>
          <w:bCs/>
          <w:sz w:val="20"/>
          <w:szCs w:val="20"/>
          <w:lang w:val="en-US"/>
        </w:rPr>
        <w:t xml:space="preserve">In the technical proposals, bidders should also share a signed version of </w:t>
      </w:r>
      <w:r w:rsidR="00CA72FB">
        <w:rPr>
          <w:bCs/>
          <w:sz w:val="20"/>
          <w:szCs w:val="20"/>
          <w:lang w:val="en-US"/>
        </w:rPr>
        <w:t>Budget Template-</w:t>
      </w:r>
      <w:r w:rsidRPr="00B06848">
        <w:rPr>
          <w:bCs/>
          <w:sz w:val="20"/>
          <w:szCs w:val="20"/>
          <w:lang w:val="en-US"/>
        </w:rPr>
        <w:t xml:space="preserve">Annexes 2 and 3 -Terms and </w:t>
      </w:r>
    </w:p>
    <w:p w14:paraId="2E162D2A" w14:textId="77777777" w:rsidR="004D19B0" w:rsidRPr="00B06848" w:rsidRDefault="004D19B0" w:rsidP="004D19B0">
      <w:pPr>
        <w:pStyle w:val="NormalBody"/>
        <w:spacing w:before="0" w:after="0"/>
        <w:rPr>
          <w:bCs/>
          <w:sz w:val="20"/>
          <w:szCs w:val="20"/>
          <w:lang w:val="en-US"/>
        </w:rPr>
      </w:pPr>
    </w:p>
    <w:p w14:paraId="27326CBC" w14:textId="34A80D62" w:rsidR="004D19B0" w:rsidRPr="00CF6748" w:rsidRDefault="004D19B0" w:rsidP="004D19B0">
      <w:pPr>
        <w:pStyle w:val="NormalBody"/>
        <w:spacing w:before="0" w:after="0"/>
        <w:rPr>
          <w:b/>
          <w:sz w:val="20"/>
          <w:szCs w:val="20"/>
          <w:lang w:val="en-US"/>
        </w:rPr>
      </w:pPr>
      <w:r w:rsidRPr="00CF6748">
        <w:rPr>
          <w:b/>
          <w:sz w:val="20"/>
          <w:szCs w:val="20"/>
          <w:lang w:val="en-US"/>
        </w:rPr>
        <w:t xml:space="preserve">Conditions of an IA and the Declaration form. </w:t>
      </w:r>
    </w:p>
    <w:p w14:paraId="08AC339B" w14:textId="3E385577" w:rsidR="005919BE" w:rsidRPr="00B06848" w:rsidRDefault="004D19B0" w:rsidP="005919BE">
      <w:pPr>
        <w:pStyle w:val="NormalBody"/>
        <w:spacing w:before="0" w:after="0"/>
        <w:rPr>
          <w:bCs/>
          <w:sz w:val="20"/>
          <w:szCs w:val="20"/>
          <w:lang w:val="en-US"/>
        </w:rPr>
      </w:pPr>
      <w:r w:rsidRPr="00B06848">
        <w:rPr>
          <w:bCs/>
          <w:sz w:val="20"/>
          <w:szCs w:val="20"/>
          <w:lang w:val="en-US"/>
        </w:rPr>
        <w:t xml:space="preserve">The bidding </w:t>
      </w:r>
      <w:r w:rsidR="002D325C" w:rsidRPr="00B06848">
        <w:rPr>
          <w:bCs/>
          <w:sz w:val="20"/>
          <w:szCs w:val="20"/>
          <w:lang w:val="en-US"/>
        </w:rPr>
        <w:t>organization</w:t>
      </w:r>
      <w:r w:rsidRPr="00B06848">
        <w:rPr>
          <w:bCs/>
          <w:sz w:val="20"/>
          <w:szCs w:val="20"/>
          <w:lang w:val="en-US"/>
        </w:rPr>
        <w:t xml:space="preserve"> must submit the proposed offer “Technical and Financial Proposals” in separate digital folders mentioning “Technical Proposal” and “Financial Proposal” on each digital folder so that the financial</w:t>
      </w:r>
      <w:r w:rsidR="005919BE" w:rsidRPr="00B06848">
        <w:rPr>
          <w:sz w:val="20"/>
          <w:szCs w:val="20"/>
        </w:rPr>
        <w:t xml:space="preserve"> </w:t>
      </w:r>
      <w:r w:rsidR="005919BE" w:rsidRPr="00B06848">
        <w:rPr>
          <w:bCs/>
          <w:sz w:val="20"/>
          <w:szCs w:val="20"/>
          <w:lang w:val="en-US"/>
        </w:rPr>
        <w:t>information could not be revealed before financial proposal opening. The two digital folders saved in one digital folder (zipped) with the title saved as the full name of the bidder, followed by the project title</w:t>
      </w:r>
      <w:r w:rsidR="004661F4">
        <w:rPr>
          <w:bCs/>
          <w:sz w:val="20"/>
          <w:szCs w:val="20"/>
          <w:lang w:val="en-US"/>
        </w:rPr>
        <w:t xml:space="preserve"> “</w:t>
      </w:r>
      <w:r w:rsidR="0023151D" w:rsidRPr="0023151D">
        <w:rPr>
          <w:bCs/>
          <w:sz w:val="20"/>
          <w:szCs w:val="20"/>
          <w:lang w:val="en-US"/>
        </w:rPr>
        <w:t>Evidence-based Inclusive policy development for improved labour market performance and integration of marginalized groups in Northern Iraq</w:t>
      </w:r>
      <w:r w:rsidR="0023151D">
        <w:rPr>
          <w:bCs/>
          <w:sz w:val="20"/>
          <w:szCs w:val="20"/>
          <w:lang w:val="en-US"/>
        </w:rPr>
        <w:t>”</w:t>
      </w:r>
      <w:r w:rsidR="005919BE" w:rsidRPr="00B06848">
        <w:rPr>
          <w:bCs/>
          <w:sz w:val="20"/>
          <w:szCs w:val="20"/>
          <w:lang w:val="en-US"/>
        </w:rPr>
        <w:t>, and date of submission”.</w:t>
      </w:r>
    </w:p>
    <w:p w14:paraId="51446666" w14:textId="5877E0FE" w:rsidR="005919BE" w:rsidRPr="00B06848" w:rsidRDefault="005919BE" w:rsidP="005919BE">
      <w:pPr>
        <w:pStyle w:val="NormalBody"/>
        <w:spacing w:before="0" w:after="0"/>
        <w:rPr>
          <w:bCs/>
          <w:sz w:val="20"/>
          <w:szCs w:val="20"/>
          <w:lang w:val="en-US"/>
        </w:rPr>
      </w:pPr>
      <w:r w:rsidRPr="00B06848">
        <w:rPr>
          <w:bCs/>
          <w:sz w:val="20"/>
          <w:szCs w:val="20"/>
          <w:lang w:val="en-US"/>
        </w:rPr>
        <w:t xml:space="preserve">Questions from potential bidders on any section of this TOR are welcome. Please send relevant questions to the following email address: </w:t>
      </w:r>
      <w:hyperlink r:id="rId11" w:history="1">
        <w:r w:rsidR="00F462F4" w:rsidRPr="00340D39">
          <w:rPr>
            <w:rStyle w:val="Hyperlink"/>
            <w:bCs/>
            <w:sz w:val="20"/>
            <w:szCs w:val="20"/>
            <w:lang w:val="en-US"/>
          </w:rPr>
          <w:t>iraq-procurement@ilo.org</w:t>
        </w:r>
      </w:hyperlink>
      <w:r w:rsidR="00F462F4">
        <w:rPr>
          <w:bCs/>
          <w:sz w:val="20"/>
          <w:szCs w:val="20"/>
          <w:lang w:val="en-US"/>
        </w:rPr>
        <w:t xml:space="preserve"> </w:t>
      </w:r>
    </w:p>
    <w:p w14:paraId="48192D86" w14:textId="2D585F77" w:rsidR="005919BE" w:rsidRPr="00B06848" w:rsidRDefault="005919BE" w:rsidP="005919BE">
      <w:pPr>
        <w:pStyle w:val="NormalBody"/>
        <w:spacing w:before="0" w:after="0"/>
        <w:rPr>
          <w:bCs/>
          <w:sz w:val="20"/>
          <w:szCs w:val="20"/>
          <w:lang w:val="en-US"/>
        </w:rPr>
      </w:pPr>
      <w:r w:rsidRPr="00B06848">
        <w:rPr>
          <w:bCs/>
          <w:sz w:val="20"/>
          <w:szCs w:val="20"/>
          <w:lang w:val="en-US"/>
        </w:rPr>
        <w:t xml:space="preserve">Applications should be submitted by email to </w:t>
      </w:r>
      <w:hyperlink r:id="rId12" w:history="1">
        <w:r w:rsidR="00F462F4" w:rsidRPr="00340D39">
          <w:rPr>
            <w:rStyle w:val="Hyperlink"/>
            <w:bCs/>
            <w:sz w:val="20"/>
            <w:szCs w:val="20"/>
            <w:lang w:val="en-US"/>
          </w:rPr>
          <w:t>iraq-procurement@ilo.org</w:t>
        </w:r>
      </w:hyperlink>
      <w:r w:rsidRPr="00B06848">
        <w:rPr>
          <w:bCs/>
          <w:sz w:val="20"/>
          <w:szCs w:val="20"/>
          <w:lang w:val="en-US"/>
        </w:rPr>
        <w:t>.</w:t>
      </w:r>
      <w:r w:rsidR="00F462F4">
        <w:rPr>
          <w:bCs/>
          <w:sz w:val="20"/>
          <w:szCs w:val="20"/>
          <w:lang w:val="en-US"/>
        </w:rPr>
        <w:t xml:space="preserve"> </w:t>
      </w:r>
    </w:p>
    <w:p w14:paraId="08F438B0" w14:textId="77777777" w:rsidR="005919BE" w:rsidRPr="00B06848" w:rsidRDefault="005919BE" w:rsidP="005919BE">
      <w:pPr>
        <w:pStyle w:val="NormalBody"/>
        <w:spacing w:before="0" w:after="0"/>
        <w:rPr>
          <w:bCs/>
          <w:sz w:val="20"/>
          <w:szCs w:val="20"/>
          <w:lang w:val="en-US"/>
        </w:rPr>
      </w:pPr>
    </w:p>
    <w:p w14:paraId="1C2F6499" w14:textId="77777777" w:rsidR="005919BE" w:rsidRPr="00B06848" w:rsidRDefault="005919BE" w:rsidP="005919BE">
      <w:pPr>
        <w:pStyle w:val="NormalBody"/>
        <w:spacing w:before="0" w:after="0"/>
        <w:rPr>
          <w:bCs/>
          <w:sz w:val="20"/>
          <w:szCs w:val="20"/>
          <w:lang w:val="en-US"/>
        </w:rPr>
      </w:pPr>
      <w:r w:rsidRPr="00B06848">
        <w:rPr>
          <w:bCs/>
          <w:sz w:val="20"/>
          <w:szCs w:val="20"/>
          <w:lang w:val="en-US"/>
        </w:rPr>
        <w:t xml:space="preserve">Both financial and technical proposals should be valid for 90 days. </w:t>
      </w:r>
    </w:p>
    <w:p w14:paraId="6132FEF2" w14:textId="77777777" w:rsidR="005919BE" w:rsidRPr="00B06848" w:rsidRDefault="005919BE" w:rsidP="005919BE">
      <w:pPr>
        <w:pStyle w:val="NormalBody"/>
        <w:spacing w:before="0" w:after="0"/>
        <w:rPr>
          <w:bCs/>
          <w:sz w:val="20"/>
          <w:szCs w:val="20"/>
          <w:lang w:val="en-US"/>
        </w:rPr>
      </w:pPr>
    </w:p>
    <w:p w14:paraId="5067CB65" w14:textId="26B3C041" w:rsidR="00C57144" w:rsidRPr="00C57144" w:rsidRDefault="005919BE" w:rsidP="00C57144">
      <w:pPr>
        <w:pStyle w:val="NormalBody"/>
        <w:spacing w:before="0" w:after="0"/>
        <w:rPr>
          <w:b/>
          <w:sz w:val="20"/>
          <w:szCs w:val="20"/>
          <w:lang w:val="en-US"/>
        </w:rPr>
      </w:pPr>
      <w:r w:rsidRPr="00B06848">
        <w:rPr>
          <w:bCs/>
          <w:sz w:val="20"/>
          <w:szCs w:val="20"/>
          <w:lang w:val="en-US"/>
        </w:rPr>
        <w:t xml:space="preserve">The </w:t>
      </w:r>
      <w:r w:rsidRPr="0046788B">
        <w:rPr>
          <w:b/>
          <w:sz w:val="20"/>
          <w:szCs w:val="20"/>
          <w:lang w:val="en-US"/>
        </w:rPr>
        <w:t>deadline</w:t>
      </w:r>
      <w:r w:rsidRPr="00B06848">
        <w:rPr>
          <w:bCs/>
          <w:sz w:val="20"/>
          <w:szCs w:val="20"/>
          <w:lang w:val="en-US"/>
        </w:rPr>
        <w:t xml:space="preserve"> for submitting the technical and financial proposals is </w:t>
      </w:r>
      <w:r w:rsidR="00F161F7" w:rsidRPr="00F462F4">
        <w:rPr>
          <w:b/>
          <w:sz w:val="20"/>
          <w:szCs w:val="20"/>
          <w:lang w:val="en-US"/>
        </w:rPr>
        <w:t xml:space="preserve">May </w:t>
      </w:r>
      <w:r w:rsidR="009118F8">
        <w:rPr>
          <w:b/>
          <w:sz w:val="20"/>
          <w:szCs w:val="20"/>
          <w:lang w:val="en-US"/>
        </w:rPr>
        <w:t>14</w:t>
      </w:r>
      <w:r w:rsidRPr="00F462F4">
        <w:rPr>
          <w:b/>
          <w:sz w:val="20"/>
          <w:szCs w:val="20"/>
          <w:lang w:val="en-US"/>
        </w:rPr>
        <w:t>, 2025</w:t>
      </w:r>
      <w:r w:rsidR="00C57144">
        <w:rPr>
          <w:b/>
          <w:sz w:val="20"/>
          <w:szCs w:val="20"/>
          <w:lang w:val="en-US"/>
        </w:rPr>
        <w:t>,</w:t>
      </w:r>
      <w:r w:rsidR="00C57144" w:rsidRPr="00C57144">
        <w:t xml:space="preserve"> </w:t>
      </w:r>
      <w:r w:rsidR="00C57144" w:rsidRPr="00C57144">
        <w:rPr>
          <w:b/>
          <w:sz w:val="20"/>
          <w:szCs w:val="20"/>
          <w:lang w:val="en-US"/>
        </w:rPr>
        <w:t>by 12:00 midnight</w:t>
      </w:r>
    </w:p>
    <w:p w14:paraId="33EF0489" w14:textId="38F2CF89" w:rsidR="00085ED1" w:rsidRPr="00B06848" w:rsidRDefault="00C57144" w:rsidP="00C57144">
      <w:pPr>
        <w:pStyle w:val="NormalBody"/>
        <w:spacing w:before="0" w:after="0"/>
        <w:rPr>
          <w:bCs/>
          <w:sz w:val="20"/>
          <w:szCs w:val="20"/>
          <w:lang w:val="en-US"/>
        </w:rPr>
      </w:pPr>
      <w:r w:rsidRPr="00C57144">
        <w:rPr>
          <w:b/>
          <w:sz w:val="20"/>
          <w:szCs w:val="20"/>
          <w:lang w:val="en-US"/>
        </w:rPr>
        <w:t>(Baghdad time).</w:t>
      </w:r>
    </w:p>
    <w:p w14:paraId="24008B12" w14:textId="77777777" w:rsidR="00085ED1" w:rsidRDefault="00085ED1" w:rsidP="000B5E12">
      <w:pPr>
        <w:pStyle w:val="NormalBody"/>
        <w:spacing w:before="0" w:after="0"/>
        <w:rPr>
          <w:bCs/>
          <w:lang w:val="en-US"/>
        </w:rPr>
      </w:pPr>
    </w:p>
    <w:p w14:paraId="647819B0" w14:textId="0DB865E0" w:rsidR="000B5E12" w:rsidRPr="000B5E12" w:rsidRDefault="000B5E12" w:rsidP="008F591E">
      <w:pPr>
        <w:pStyle w:val="Headinglevel2"/>
        <w:rPr>
          <w:b w:val="0"/>
          <w:bCs w:val="0"/>
        </w:rPr>
      </w:pPr>
      <w:r w:rsidRPr="000B5E12">
        <w:rPr>
          <w:b w:val="0"/>
          <w:bCs w:val="0"/>
        </w:rPr>
        <w:t>Confidentiality Statement</w:t>
      </w:r>
    </w:p>
    <w:p w14:paraId="6E7E5DFC" w14:textId="77777777" w:rsidR="000B5E12" w:rsidRPr="00251B09" w:rsidRDefault="000B5E12" w:rsidP="000B5E12">
      <w:pPr>
        <w:pStyle w:val="NormalBody"/>
        <w:spacing w:before="0" w:after="0"/>
        <w:rPr>
          <w:bCs/>
          <w:sz w:val="20"/>
          <w:szCs w:val="20"/>
        </w:rPr>
      </w:pPr>
      <w:r w:rsidRPr="00251B09">
        <w:rPr>
          <w:bCs/>
          <w:sz w:val="20"/>
          <w:szCs w:val="20"/>
        </w:rPr>
        <w:t>All data and information received from ILO for the purpose of this assignment are to be treated confidentially and are only to be used in connection with the execution of these Terms of Reference (TORs). All intellectual property rights arising from the execution of these TORs are assigned to the ILO. The contents of written materials obtained and used in this assignment may not be disclosed to any third parties without the expressed advance written authorization of the ILO.</w:t>
      </w:r>
    </w:p>
    <w:p w14:paraId="51E64D4C" w14:textId="77777777" w:rsidR="008F591E" w:rsidRDefault="008F591E" w:rsidP="000B5E12">
      <w:pPr>
        <w:pStyle w:val="NormalBody"/>
        <w:spacing w:before="0" w:after="0"/>
        <w:rPr>
          <w:bCs/>
          <w:lang w:val="en-US"/>
        </w:rPr>
      </w:pPr>
    </w:p>
    <w:p w14:paraId="00E87FB7" w14:textId="1B06890A" w:rsidR="000B5E12" w:rsidRPr="000B5E12" w:rsidRDefault="000B5E12" w:rsidP="008F591E">
      <w:pPr>
        <w:pStyle w:val="Headinglevel2"/>
        <w:rPr>
          <w:b w:val="0"/>
          <w:bCs w:val="0"/>
        </w:rPr>
      </w:pPr>
      <w:r w:rsidRPr="000B5E12">
        <w:rPr>
          <w:b w:val="0"/>
          <w:bCs w:val="0"/>
        </w:rPr>
        <w:t>Payment Schedule</w:t>
      </w:r>
    </w:p>
    <w:tbl>
      <w:tblPr>
        <w:tblStyle w:val="GridTable4-Accent51"/>
        <w:tblW w:w="4949" w:type="pct"/>
        <w:tblInd w:w="-289" w:type="dxa"/>
        <w:tblLook w:val="04A0" w:firstRow="1" w:lastRow="0" w:firstColumn="1" w:lastColumn="0" w:noHBand="0" w:noVBand="1"/>
      </w:tblPr>
      <w:tblGrid>
        <w:gridCol w:w="2127"/>
        <w:gridCol w:w="7403"/>
      </w:tblGrid>
      <w:tr w:rsidR="005168E5" w:rsidRPr="005168E5" w14:paraId="39B2D1BE" w14:textId="77777777" w:rsidTr="00E8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40EFB197" w14:textId="77777777" w:rsidR="005168E5" w:rsidRPr="005168E5" w:rsidRDefault="005168E5" w:rsidP="00E80E4E">
            <w:pPr>
              <w:spacing w:before="0" w:after="0" w:line="240" w:lineRule="auto"/>
              <w:jc w:val="lowKashida"/>
              <w:rPr>
                <w:rFonts w:ascii="Calibri" w:eastAsia="Calibri" w:hAnsi="Calibri" w:cs="Calibri"/>
                <w:sz w:val="22"/>
                <w:szCs w:val="22"/>
                <w:lang w:eastAsia="en-GB"/>
              </w:rPr>
            </w:pPr>
            <w:r w:rsidRPr="005168E5">
              <w:rPr>
                <w:rFonts w:ascii="Calibri" w:eastAsia="Calibri" w:hAnsi="Calibri" w:cs="Calibri"/>
                <w:sz w:val="22"/>
                <w:szCs w:val="22"/>
                <w:lang w:eastAsia="en-GB"/>
              </w:rPr>
              <w:t>Deliverable</w:t>
            </w:r>
          </w:p>
        </w:tc>
        <w:tc>
          <w:tcPr>
            <w:tcW w:w="3884" w:type="pct"/>
          </w:tcPr>
          <w:p w14:paraId="467CB830" w14:textId="77777777" w:rsidR="005168E5" w:rsidRPr="005168E5" w:rsidRDefault="005168E5" w:rsidP="00E80E4E">
            <w:pPr>
              <w:spacing w:before="0" w:after="0" w:line="240" w:lineRule="auto"/>
              <w:jc w:val="lowKashida"/>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2"/>
                <w:szCs w:val="22"/>
                <w:lang w:eastAsia="en-GB"/>
              </w:rPr>
            </w:pPr>
            <w:r w:rsidRPr="005168E5">
              <w:rPr>
                <w:rFonts w:ascii="Calibri" w:eastAsia="Calibri" w:hAnsi="Calibri" w:cs="Calibri"/>
                <w:sz w:val="22"/>
                <w:szCs w:val="22"/>
                <w:lang w:eastAsia="en-GB"/>
              </w:rPr>
              <w:t>Instalment</w:t>
            </w:r>
          </w:p>
        </w:tc>
      </w:tr>
      <w:tr w:rsidR="005168E5" w:rsidRPr="005168E5" w14:paraId="5BFED48A" w14:textId="77777777" w:rsidTr="00E8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1C254ABB" w14:textId="77777777" w:rsidR="005168E5" w:rsidRPr="005168E5" w:rsidRDefault="005168E5" w:rsidP="00E80E4E">
            <w:pPr>
              <w:spacing w:before="0" w:after="0" w:line="240" w:lineRule="auto"/>
              <w:jc w:val="lowKashida"/>
              <w:rPr>
                <w:rFonts w:ascii="Calibri" w:eastAsia="Calibri" w:hAnsi="Calibri" w:cs="Calibri"/>
                <w:sz w:val="22"/>
                <w:szCs w:val="22"/>
                <w:lang w:eastAsia="en-GB"/>
              </w:rPr>
            </w:pPr>
            <w:r w:rsidRPr="005168E5">
              <w:rPr>
                <w:rFonts w:ascii="Calibri" w:eastAsia="Calibri" w:hAnsi="Calibri" w:cs="Calibri"/>
                <w:sz w:val="22"/>
                <w:szCs w:val="22"/>
                <w:lang w:eastAsia="en-GB"/>
              </w:rPr>
              <w:t>First Payment</w:t>
            </w:r>
          </w:p>
        </w:tc>
        <w:tc>
          <w:tcPr>
            <w:tcW w:w="3884" w:type="pct"/>
          </w:tcPr>
          <w:p w14:paraId="5DB0A034" w14:textId="49EAD1E6" w:rsidR="005168E5" w:rsidRPr="005168E5" w:rsidRDefault="005168E5" w:rsidP="00E80E4E">
            <w:pPr>
              <w:spacing w:before="0" w:after="0" w:line="240" w:lineRule="auto"/>
              <w:jc w:val="lowKashida"/>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eastAsia="en-GB"/>
              </w:rPr>
            </w:pPr>
            <w:r>
              <w:rPr>
                <w:rFonts w:ascii="Calibri" w:eastAsia="Calibri" w:hAnsi="Calibri" w:cs="Calibri"/>
                <w:sz w:val="22"/>
                <w:szCs w:val="22"/>
                <w:lang w:eastAsia="en-GB"/>
              </w:rPr>
              <w:t>30</w:t>
            </w:r>
            <w:r w:rsidRPr="005168E5">
              <w:rPr>
                <w:rFonts w:ascii="Calibri" w:eastAsia="Calibri" w:hAnsi="Calibri" w:cs="Calibri"/>
                <w:sz w:val="22"/>
                <w:szCs w:val="22"/>
                <w:lang w:eastAsia="en-GB"/>
              </w:rPr>
              <w:t xml:space="preserve">% or 30,000 USD whichever is less upon Signing the implementing agreement and submitting the inception report  </w:t>
            </w:r>
          </w:p>
        </w:tc>
      </w:tr>
      <w:tr w:rsidR="005168E5" w:rsidRPr="005168E5" w14:paraId="4113F8FD" w14:textId="77777777" w:rsidTr="00E80E4E">
        <w:tc>
          <w:tcPr>
            <w:cnfStyle w:val="001000000000" w:firstRow="0" w:lastRow="0" w:firstColumn="1" w:lastColumn="0" w:oddVBand="0" w:evenVBand="0" w:oddHBand="0" w:evenHBand="0" w:firstRowFirstColumn="0" w:firstRowLastColumn="0" w:lastRowFirstColumn="0" w:lastRowLastColumn="0"/>
            <w:tcW w:w="1116" w:type="pct"/>
          </w:tcPr>
          <w:p w14:paraId="5A2C9051" w14:textId="77777777" w:rsidR="005168E5" w:rsidRPr="005168E5" w:rsidRDefault="005168E5" w:rsidP="00E80E4E">
            <w:pPr>
              <w:spacing w:before="0" w:after="0" w:line="240" w:lineRule="auto"/>
              <w:jc w:val="lowKashida"/>
              <w:rPr>
                <w:rFonts w:ascii="Calibri" w:eastAsia="Calibri" w:hAnsi="Calibri" w:cs="Calibri"/>
                <w:sz w:val="22"/>
                <w:szCs w:val="22"/>
                <w:lang w:eastAsia="en-GB"/>
              </w:rPr>
            </w:pPr>
            <w:r w:rsidRPr="005168E5">
              <w:rPr>
                <w:rFonts w:ascii="Calibri" w:eastAsia="Calibri" w:hAnsi="Calibri" w:cs="Calibri"/>
                <w:sz w:val="22"/>
                <w:szCs w:val="22"/>
                <w:lang w:eastAsia="en-GB"/>
              </w:rPr>
              <w:t>Second Payment</w:t>
            </w:r>
          </w:p>
        </w:tc>
        <w:tc>
          <w:tcPr>
            <w:tcW w:w="3884" w:type="pct"/>
          </w:tcPr>
          <w:p w14:paraId="7AA959A0" w14:textId="4037C9F2" w:rsidR="005168E5" w:rsidRPr="005168E5" w:rsidRDefault="005168E5" w:rsidP="00E80E4E">
            <w:pPr>
              <w:spacing w:before="0" w:after="0" w:line="240" w:lineRule="auto"/>
              <w:jc w:val="lowKashida"/>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eastAsia="en-GB"/>
              </w:rPr>
            </w:pPr>
            <w:r w:rsidRPr="005168E5">
              <w:rPr>
                <w:rFonts w:ascii="Calibri" w:eastAsia="Calibri" w:hAnsi="Calibri" w:cs="Calibri"/>
                <w:sz w:val="22"/>
                <w:szCs w:val="22"/>
                <w:lang w:eastAsia="en-GB"/>
              </w:rPr>
              <w:t xml:space="preserve">Second advance payment </w:t>
            </w:r>
            <w:r w:rsidR="00D8647C">
              <w:rPr>
                <w:rFonts w:ascii="Calibri" w:eastAsia="Calibri" w:hAnsi="Calibri" w:cs="Calibri"/>
                <w:sz w:val="22"/>
                <w:szCs w:val="22"/>
                <w:lang w:eastAsia="en-GB"/>
              </w:rPr>
              <w:t>of 3</w:t>
            </w:r>
            <w:r w:rsidR="00714777">
              <w:rPr>
                <w:rFonts w:ascii="Calibri" w:eastAsia="Calibri" w:hAnsi="Calibri" w:cs="Calibri"/>
                <w:sz w:val="22"/>
                <w:szCs w:val="22"/>
                <w:lang w:eastAsia="en-GB"/>
              </w:rPr>
              <w:t>0%</w:t>
            </w:r>
            <w:r w:rsidRPr="005168E5">
              <w:rPr>
                <w:rFonts w:ascii="Calibri" w:eastAsia="Calibri" w:hAnsi="Calibri" w:cs="Calibri"/>
                <w:sz w:val="22"/>
                <w:szCs w:val="22"/>
                <w:lang w:eastAsia="en-GB"/>
              </w:rPr>
              <w:t xml:space="preserve"> of the total IA value </w:t>
            </w:r>
          </w:p>
          <w:p w14:paraId="4DE04609" w14:textId="6F3AF037" w:rsidR="005168E5" w:rsidRPr="005168E5" w:rsidRDefault="005168E5" w:rsidP="00E80E4E">
            <w:pPr>
              <w:spacing w:before="0" w:after="0" w:line="240" w:lineRule="auto"/>
              <w:jc w:val="lowKashida"/>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eastAsia="en-GB"/>
              </w:rPr>
            </w:pPr>
            <w:r w:rsidRPr="005168E5">
              <w:rPr>
                <w:rFonts w:ascii="Calibri" w:eastAsia="Calibri" w:hAnsi="Calibri" w:cs="Calibri"/>
                <w:sz w:val="22"/>
                <w:szCs w:val="22"/>
                <w:lang w:eastAsia="en-GB"/>
              </w:rPr>
              <w:t>1. upon completion</w:t>
            </w:r>
            <w:r w:rsidR="00F671BE">
              <w:rPr>
                <w:rFonts w:ascii="Calibri" w:eastAsia="Calibri" w:hAnsi="Calibri" w:cs="Calibri"/>
                <w:sz w:val="22"/>
                <w:szCs w:val="22"/>
                <w:lang w:eastAsia="en-GB"/>
              </w:rPr>
              <w:t xml:space="preserve"> of the meta-analysis and submission of draft report</w:t>
            </w:r>
          </w:p>
          <w:p w14:paraId="2FEBAB4D" w14:textId="77777777" w:rsidR="005168E5" w:rsidRPr="005168E5" w:rsidRDefault="005168E5" w:rsidP="00E80E4E">
            <w:pPr>
              <w:spacing w:before="0" w:after="0" w:line="240" w:lineRule="auto"/>
              <w:jc w:val="lowKashida"/>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eastAsia="en-GB"/>
              </w:rPr>
            </w:pPr>
            <w:r w:rsidRPr="005168E5">
              <w:rPr>
                <w:rFonts w:ascii="Calibri" w:eastAsia="Calibri" w:hAnsi="Calibri" w:cs="Calibri"/>
                <w:sz w:val="22"/>
                <w:szCs w:val="22"/>
                <w:lang w:eastAsia="en-GB"/>
              </w:rPr>
              <w:t>2. Submission of 1</w:t>
            </w:r>
            <w:r w:rsidRPr="005168E5">
              <w:rPr>
                <w:rFonts w:ascii="Calibri" w:eastAsia="Calibri" w:hAnsi="Calibri" w:cs="Calibri"/>
                <w:sz w:val="22"/>
                <w:szCs w:val="22"/>
                <w:vertAlign w:val="superscript"/>
                <w:lang w:eastAsia="en-GB"/>
              </w:rPr>
              <w:t>st</w:t>
            </w:r>
            <w:r w:rsidRPr="005168E5">
              <w:rPr>
                <w:rFonts w:ascii="Calibri" w:eastAsia="Calibri" w:hAnsi="Calibri" w:cs="Calibri"/>
                <w:sz w:val="22"/>
                <w:szCs w:val="22"/>
                <w:lang w:eastAsia="en-GB"/>
              </w:rPr>
              <w:t xml:space="preserve"> technical and financial reports using ILO template</w:t>
            </w:r>
          </w:p>
          <w:p w14:paraId="7F176F40" w14:textId="77777777" w:rsidR="005168E5" w:rsidRPr="005168E5" w:rsidRDefault="005168E5" w:rsidP="00E80E4E">
            <w:pPr>
              <w:spacing w:before="0" w:after="0" w:line="240" w:lineRule="auto"/>
              <w:jc w:val="lowKashida"/>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eastAsia="en-GB"/>
              </w:rPr>
            </w:pPr>
            <w:r w:rsidRPr="005168E5">
              <w:rPr>
                <w:rFonts w:ascii="Calibri" w:eastAsia="Calibri" w:hAnsi="Calibri" w:cs="Calibri"/>
                <w:sz w:val="22"/>
                <w:szCs w:val="22"/>
                <w:lang w:eastAsia="en-GB"/>
              </w:rPr>
              <w:t xml:space="preserve">3. Spending 80% of previous advance </w:t>
            </w:r>
          </w:p>
        </w:tc>
      </w:tr>
      <w:tr w:rsidR="005168E5" w:rsidRPr="005168E5" w14:paraId="01A70E73" w14:textId="77777777" w:rsidTr="00E8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3643DCCD" w14:textId="77777777" w:rsidR="005168E5" w:rsidRPr="005168E5" w:rsidRDefault="005168E5" w:rsidP="00E80E4E">
            <w:pPr>
              <w:spacing w:before="0" w:after="0" w:line="240" w:lineRule="auto"/>
              <w:jc w:val="lowKashida"/>
              <w:rPr>
                <w:rFonts w:ascii="Calibri" w:eastAsia="Calibri" w:hAnsi="Calibri" w:cs="Calibri"/>
                <w:sz w:val="22"/>
                <w:szCs w:val="22"/>
                <w:lang w:eastAsia="en-GB"/>
              </w:rPr>
            </w:pPr>
            <w:r w:rsidRPr="005168E5">
              <w:rPr>
                <w:rFonts w:ascii="Calibri" w:eastAsia="Calibri" w:hAnsi="Calibri" w:cs="Calibri"/>
                <w:sz w:val="22"/>
                <w:szCs w:val="22"/>
                <w:lang w:eastAsia="en-GB"/>
              </w:rPr>
              <w:t>Third Payment</w:t>
            </w:r>
          </w:p>
        </w:tc>
        <w:tc>
          <w:tcPr>
            <w:tcW w:w="3884" w:type="pct"/>
          </w:tcPr>
          <w:p w14:paraId="647A649C" w14:textId="794FBC5E" w:rsidR="005168E5" w:rsidRPr="005168E5" w:rsidRDefault="005168E5" w:rsidP="00E80E4E">
            <w:pPr>
              <w:spacing w:before="0" w:after="0" w:line="240" w:lineRule="auto"/>
              <w:jc w:val="lowKashida"/>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eastAsia="en-GB"/>
              </w:rPr>
            </w:pPr>
            <w:r w:rsidRPr="005168E5">
              <w:rPr>
                <w:rFonts w:ascii="Calibri" w:eastAsia="Calibri" w:hAnsi="Calibri" w:cs="Calibri"/>
                <w:sz w:val="22"/>
                <w:szCs w:val="22"/>
                <w:lang w:eastAsia="en-GB"/>
              </w:rPr>
              <w:t xml:space="preserve">Third advance payment </w:t>
            </w:r>
            <w:r w:rsidR="00D8647C">
              <w:rPr>
                <w:rFonts w:ascii="Calibri" w:eastAsia="Calibri" w:hAnsi="Calibri" w:cs="Calibri"/>
                <w:sz w:val="22"/>
                <w:szCs w:val="22"/>
                <w:lang w:eastAsia="en-GB"/>
              </w:rPr>
              <w:t xml:space="preserve">of </w:t>
            </w:r>
            <w:r w:rsidR="00A8460A">
              <w:rPr>
                <w:rFonts w:ascii="Calibri" w:eastAsia="Calibri" w:hAnsi="Calibri" w:cs="Calibri"/>
                <w:sz w:val="22"/>
                <w:szCs w:val="22"/>
                <w:lang w:eastAsia="en-GB"/>
              </w:rPr>
              <w:t xml:space="preserve">20% </w:t>
            </w:r>
            <w:r w:rsidRPr="005168E5">
              <w:rPr>
                <w:rFonts w:ascii="Calibri" w:eastAsia="Calibri" w:hAnsi="Calibri" w:cs="Calibri"/>
                <w:sz w:val="22"/>
                <w:szCs w:val="22"/>
                <w:lang w:eastAsia="en-GB"/>
              </w:rPr>
              <w:t>of the total IA value</w:t>
            </w:r>
          </w:p>
          <w:p w14:paraId="4672A118" w14:textId="6EFC7F78" w:rsidR="005168E5" w:rsidRPr="005168E5" w:rsidRDefault="005168E5" w:rsidP="00E80E4E">
            <w:pPr>
              <w:spacing w:before="0" w:after="0" w:line="240" w:lineRule="auto"/>
              <w:jc w:val="lowKashida"/>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eastAsia="en-GB"/>
              </w:rPr>
            </w:pPr>
            <w:r w:rsidRPr="005168E5">
              <w:rPr>
                <w:rFonts w:ascii="Calibri" w:eastAsia="Calibri" w:hAnsi="Calibri" w:cs="Calibri"/>
                <w:sz w:val="22"/>
                <w:szCs w:val="22"/>
                <w:lang w:eastAsia="en-GB"/>
              </w:rPr>
              <w:t>1. Upon completion of</w:t>
            </w:r>
            <w:r w:rsidR="00A2290A">
              <w:rPr>
                <w:rFonts w:ascii="Calibri" w:eastAsia="Calibri" w:hAnsi="Calibri" w:cs="Calibri"/>
                <w:sz w:val="22"/>
                <w:szCs w:val="22"/>
                <w:lang w:eastAsia="en-GB"/>
              </w:rPr>
              <w:t xml:space="preserve"> labour market analysis and diagnostics and development of draft policies</w:t>
            </w:r>
            <w:r w:rsidR="00B403D4">
              <w:rPr>
                <w:rFonts w:ascii="Calibri" w:eastAsia="Calibri" w:hAnsi="Calibri" w:cs="Calibri"/>
                <w:sz w:val="22"/>
                <w:szCs w:val="22"/>
                <w:lang w:eastAsia="en-GB"/>
              </w:rPr>
              <w:t xml:space="preserve"> </w:t>
            </w:r>
          </w:p>
          <w:p w14:paraId="369AE931" w14:textId="0FB1FBC5" w:rsidR="005168E5" w:rsidRPr="005168E5" w:rsidRDefault="005168E5" w:rsidP="00E80E4E">
            <w:pPr>
              <w:spacing w:before="0" w:after="0" w:line="240" w:lineRule="auto"/>
              <w:jc w:val="lowKashida"/>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eastAsia="en-GB"/>
              </w:rPr>
            </w:pPr>
            <w:r w:rsidRPr="005168E5">
              <w:rPr>
                <w:rFonts w:ascii="Calibri" w:eastAsia="Calibri" w:hAnsi="Calibri" w:cs="Calibri"/>
                <w:sz w:val="22"/>
                <w:szCs w:val="22"/>
                <w:lang w:eastAsia="en-GB"/>
              </w:rPr>
              <w:t>2. Submission of 2</w:t>
            </w:r>
            <w:r w:rsidRPr="005168E5">
              <w:rPr>
                <w:rFonts w:ascii="Calibri" w:eastAsia="Calibri" w:hAnsi="Calibri" w:cs="Calibri"/>
                <w:sz w:val="22"/>
                <w:szCs w:val="22"/>
                <w:vertAlign w:val="superscript"/>
                <w:lang w:eastAsia="en-GB"/>
              </w:rPr>
              <w:t>nd</w:t>
            </w:r>
            <w:r w:rsidRPr="005168E5">
              <w:rPr>
                <w:rFonts w:ascii="Calibri" w:eastAsia="Calibri" w:hAnsi="Calibri" w:cs="Calibri"/>
                <w:sz w:val="22"/>
                <w:szCs w:val="22"/>
                <w:lang w:eastAsia="en-GB"/>
              </w:rPr>
              <w:t xml:space="preserve"> technical and financial reports using ILO template</w:t>
            </w:r>
          </w:p>
          <w:p w14:paraId="6FF0BD9C" w14:textId="77777777" w:rsidR="005168E5" w:rsidRPr="005168E5" w:rsidRDefault="005168E5" w:rsidP="00E80E4E">
            <w:pPr>
              <w:spacing w:before="0" w:after="0" w:line="240" w:lineRule="auto"/>
              <w:jc w:val="lowKashida"/>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eastAsia="en-GB"/>
              </w:rPr>
            </w:pPr>
            <w:r w:rsidRPr="005168E5">
              <w:rPr>
                <w:rFonts w:ascii="Calibri" w:eastAsia="Calibri" w:hAnsi="Calibri" w:cs="Calibri"/>
                <w:sz w:val="22"/>
                <w:szCs w:val="22"/>
                <w:lang w:eastAsia="en-GB"/>
              </w:rPr>
              <w:t>3. Spending 80% of previous advance</w:t>
            </w:r>
          </w:p>
        </w:tc>
      </w:tr>
      <w:tr w:rsidR="005168E5" w:rsidRPr="005168E5" w14:paraId="356F182E" w14:textId="77777777" w:rsidTr="00E80E4E">
        <w:tc>
          <w:tcPr>
            <w:cnfStyle w:val="001000000000" w:firstRow="0" w:lastRow="0" w:firstColumn="1" w:lastColumn="0" w:oddVBand="0" w:evenVBand="0" w:oddHBand="0" w:evenHBand="0" w:firstRowFirstColumn="0" w:firstRowLastColumn="0" w:lastRowFirstColumn="0" w:lastRowLastColumn="0"/>
            <w:tcW w:w="1116" w:type="pct"/>
          </w:tcPr>
          <w:p w14:paraId="00E2002A" w14:textId="77777777" w:rsidR="005168E5" w:rsidRPr="005168E5" w:rsidRDefault="005168E5" w:rsidP="00E80E4E">
            <w:pPr>
              <w:spacing w:before="0" w:after="0" w:line="240" w:lineRule="auto"/>
              <w:jc w:val="lowKashida"/>
              <w:rPr>
                <w:rFonts w:ascii="Calibri" w:eastAsia="Calibri" w:hAnsi="Calibri" w:cs="Calibri"/>
                <w:sz w:val="22"/>
                <w:szCs w:val="22"/>
                <w:lang w:eastAsia="en-GB"/>
              </w:rPr>
            </w:pPr>
            <w:r w:rsidRPr="005168E5">
              <w:rPr>
                <w:rFonts w:ascii="Calibri" w:eastAsia="Calibri" w:hAnsi="Calibri" w:cs="Calibri"/>
                <w:sz w:val="22"/>
                <w:szCs w:val="22"/>
                <w:lang w:eastAsia="en-GB"/>
              </w:rPr>
              <w:lastRenderedPageBreak/>
              <w:t xml:space="preserve">Forth Payment </w:t>
            </w:r>
          </w:p>
        </w:tc>
        <w:tc>
          <w:tcPr>
            <w:tcW w:w="3884" w:type="pct"/>
          </w:tcPr>
          <w:p w14:paraId="792CE914" w14:textId="0D4ED0DF" w:rsidR="005168E5" w:rsidRPr="005168E5" w:rsidRDefault="005168E5" w:rsidP="00E80E4E">
            <w:pPr>
              <w:spacing w:before="0" w:after="0" w:line="240" w:lineRule="auto"/>
              <w:jc w:val="lowKashida"/>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eastAsia="en-GB"/>
              </w:rPr>
            </w:pPr>
            <w:r w:rsidRPr="005168E5">
              <w:rPr>
                <w:rFonts w:ascii="Calibri" w:eastAsia="Calibri" w:hAnsi="Calibri" w:cs="Calibri"/>
                <w:sz w:val="22"/>
                <w:szCs w:val="22"/>
                <w:lang w:eastAsia="en-GB"/>
              </w:rPr>
              <w:t xml:space="preserve">Fourth advance payment </w:t>
            </w:r>
            <w:r w:rsidR="00D8647C">
              <w:rPr>
                <w:rFonts w:ascii="Calibri" w:eastAsia="Calibri" w:hAnsi="Calibri" w:cs="Calibri"/>
                <w:sz w:val="22"/>
                <w:szCs w:val="22"/>
                <w:lang w:eastAsia="en-GB"/>
              </w:rPr>
              <w:t xml:space="preserve">of 15% </w:t>
            </w:r>
            <w:r w:rsidRPr="005168E5">
              <w:rPr>
                <w:rFonts w:ascii="Calibri" w:eastAsia="Calibri" w:hAnsi="Calibri" w:cs="Calibri"/>
                <w:sz w:val="22"/>
                <w:szCs w:val="22"/>
                <w:lang w:eastAsia="en-GB"/>
              </w:rPr>
              <w:t>of the total IA value</w:t>
            </w:r>
          </w:p>
          <w:p w14:paraId="4AF694D8" w14:textId="03106CE8" w:rsidR="005168E5" w:rsidRPr="005168E5" w:rsidRDefault="005168E5" w:rsidP="00E80E4E">
            <w:pPr>
              <w:spacing w:before="0" w:after="0" w:line="240" w:lineRule="auto"/>
              <w:jc w:val="lowKashida"/>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eastAsia="en-GB"/>
              </w:rPr>
            </w:pPr>
            <w:r w:rsidRPr="005168E5">
              <w:rPr>
                <w:rFonts w:ascii="Calibri" w:eastAsia="Calibri" w:hAnsi="Calibri" w:cs="Calibri"/>
                <w:sz w:val="22"/>
                <w:szCs w:val="22"/>
                <w:lang w:eastAsia="en-GB"/>
              </w:rPr>
              <w:t xml:space="preserve">1. Upon completion of </w:t>
            </w:r>
            <w:r w:rsidR="00B403D4">
              <w:rPr>
                <w:rFonts w:ascii="Calibri" w:eastAsia="Calibri" w:hAnsi="Calibri" w:cs="Calibri"/>
                <w:sz w:val="22"/>
                <w:szCs w:val="22"/>
                <w:lang w:eastAsia="en-GB"/>
              </w:rPr>
              <w:t>development of policy briefs and conducting training on evidence-based policy development and conduct validation workshops</w:t>
            </w:r>
          </w:p>
          <w:p w14:paraId="70B8F543" w14:textId="7CD3A614" w:rsidR="005168E5" w:rsidRPr="005168E5" w:rsidRDefault="005168E5" w:rsidP="00E80E4E">
            <w:pPr>
              <w:spacing w:before="0" w:after="0" w:line="240" w:lineRule="auto"/>
              <w:jc w:val="lowKashida"/>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eastAsia="en-GB"/>
              </w:rPr>
            </w:pPr>
            <w:r w:rsidRPr="005168E5">
              <w:rPr>
                <w:rFonts w:ascii="Calibri" w:eastAsia="Calibri" w:hAnsi="Calibri" w:cs="Calibri"/>
                <w:sz w:val="22"/>
                <w:szCs w:val="22"/>
                <w:lang w:eastAsia="en-GB"/>
              </w:rPr>
              <w:t>2. Submission of 3</w:t>
            </w:r>
            <w:r w:rsidRPr="005168E5">
              <w:rPr>
                <w:rFonts w:ascii="Calibri" w:eastAsia="Calibri" w:hAnsi="Calibri" w:cs="Calibri"/>
                <w:sz w:val="22"/>
                <w:szCs w:val="22"/>
                <w:vertAlign w:val="superscript"/>
                <w:lang w:eastAsia="en-GB"/>
              </w:rPr>
              <w:t>rd</w:t>
            </w:r>
            <w:r w:rsidRPr="005168E5">
              <w:rPr>
                <w:rFonts w:ascii="Calibri" w:eastAsia="Calibri" w:hAnsi="Calibri" w:cs="Calibri"/>
                <w:sz w:val="22"/>
                <w:szCs w:val="22"/>
                <w:lang w:eastAsia="en-GB"/>
              </w:rPr>
              <w:t xml:space="preserve"> technical and financial reports using ILO template</w:t>
            </w:r>
          </w:p>
          <w:p w14:paraId="02A60088" w14:textId="77777777" w:rsidR="005168E5" w:rsidRPr="005168E5" w:rsidRDefault="005168E5" w:rsidP="00E80E4E">
            <w:pPr>
              <w:spacing w:before="0" w:after="0" w:line="240" w:lineRule="auto"/>
              <w:jc w:val="lowKashida"/>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2"/>
                <w:szCs w:val="22"/>
                <w:lang w:eastAsia="en-GB"/>
              </w:rPr>
            </w:pPr>
            <w:r w:rsidRPr="005168E5">
              <w:rPr>
                <w:rFonts w:ascii="Calibri" w:eastAsia="Calibri" w:hAnsi="Calibri" w:cs="Calibri"/>
                <w:sz w:val="22"/>
                <w:szCs w:val="22"/>
                <w:lang w:eastAsia="en-GB"/>
              </w:rPr>
              <w:t>3. Spending 80% of previous advance</w:t>
            </w:r>
          </w:p>
        </w:tc>
      </w:tr>
      <w:tr w:rsidR="005168E5" w:rsidRPr="005168E5" w14:paraId="0C7F753D" w14:textId="77777777" w:rsidTr="00E8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pct"/>
          </w:tcPr>
          <w:p w14:paraId="01FF6E17" w14:textId="77777777" w:rsidR="005168E5" w:rsidRPr="005168E5" w:rsidRDefault="005168E5" w:rsidP="00E80E4E">
            <w:pPr>
              <w:spacing w:before="0" w:after="0" w:line="240" w:lineRule="auto"/>
              <w:jc w:val="lowKashida"/>
              <w:rPr>
                <w:rFonts w:ascii="Calibri" w:eastAsia="Calibri" w:hAnsi="Calibri" w:cs="Calibri"/>
                <w:sz w:val="22"/>
                <w:szCs w:val="22"/>
                <w:lang w:eastAsia="en-GB"/>
              </w:rPr>
            </w:pPr>
            <w:r w:rsidRPr="005168E5">
              <w:rPr>
                <w:rFonts w:ascii="Calibri" w:eastAsia="Calibri" w:hAnsi="Calibri" w:cs="Calibri"/>
                <w:sz w:val="22"/>
                <w:szCs w:val="22"/>
                <w:lang w:eastAsia="en-GB"/>
              </w:rPr>
              <w:t>Final Payment</w:t>
            </w:r>
          </w:p>
        </w:tc>
        <w:tc>
          <w:tcPr>
            <w:tcW w:w="3884" w:type="pct"/>
          </w:tcPr>
          <w:p w14:paraId="3F2F1683" w14:textId="7C58FC4A" w:rsidR="005168E5" w:rsidRPr="005168E5" w:rsidRDefault="005168E5" w:rsidP="00E80E4E">
            <w:pPr>
              <w:spacing w:before="0" w:after="0" w:line="240" w:lineRule="auto"/>
              <w:jc w:val="lowKashida"/>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2"/>
                <w:szCs w:val="22"/>
                <w:lang w:eastAsia="en-GB"/>
              </w:rPr>
            </w:pPr>
            <w:r w:rsidRPr="005168E5">
              <w:rPr>
                <w:rFonts w:ascii="Calibri" w:eastAsia="Calibri" w:hAnsi="Calibri" w:cs="Calibri"/>
                <w:sz w:val="22"/>
                <w:szCs w:val="22"/>
                <w:lang w:eastAsia="en-GB"/>
              </w:rPr>
              <w:t>Up to 5% of contract value upon submission of the final report</w:t>
            </w:r>
            <w:r w:rsidR="00B403D4">
              <w:rPr>
                <w:rFonts w:ascii="Calibri" w:eastAsia="Calibri" w:hAnsi="Calibri" w:cs="Calibri"/>
                <w:sz w:val="22"/>
                <w:szCs w:val="22"/>
                <w:lang w:eastAsia="en-GB"/>
              </w:rPr>
              <w:t>s and knowledge products</w:t>
            </w:r>
          </w:p>
        </w:tc>
      </w:tr>
    </w:tbl>
    <w:p w14:paraId="10ED07C3" w14:textId="77777777" w:rsidR="005168E5" w:rsidRDefault="005168E5" w:rsidP="00666A7A">
      <w:pPr>
        <w:pStyle w:val="NormalBody"/>
        <w:rPr>
          <w:bCs/>
          <w:highlight w:val="yellow"/>
        </w:rPr>
      </w:pPr>
    </w:p>
    <w:p w14:paraId="04A97501" w14:textId="5EA375AA" w:rsidR="00730562" w:rsidRPr="00015C53" w:rsidRDefault="00730562" w:rsidP="00730562">
      <w:pPr>
        <w:pStyle w:val="Headinglevel2"/>
        <w:rPr>
          <w:b w:val="0"/>
          <w:bCs w:val="0"/>
        </w:rPr>
      </w:pPr>
      <w:r>
        <w:rPr>
          <w:b w:val="0"/>
          <w:bCs w:val="0"/>
        </w:rPr>
        <w:t>Terms and Conditions</w:t>
      </w:r>
    </w:p>
    <w:p w14:paraId="56E75B61" w14:textId="5B60B07C" w:rsidR="00730562" w:rsidRDefault="00730562" w:rsidP="00730562">
      <w:pPr>
        <w:pStyle w:val="NormalBody"/>
        <w:spacing w:before="0" w:after="0"/>
        <w:jc w:val="left"/>
        <w:rPr>
          <w:rFonts w:asciiTheme="minorBidi" w:hAnsiTheme="minorBidi"/>
          <w:sz w:val="20"/>
          <w:szCs w:val="20"/>
        </w:rPr>
      </w:pPr>
      <w:r w:rsidRPr="00E23CE3">
        <w:rPr>
          <w:rFonts w:asciiTheme="minorBidi" w:hAnsiTheme="minorBidi"/>
          <w:sz w:val="20"/>
          <w:szCs w:val="20"/>
        </w:rPr>
        <w:t>When preparing your quotation, please bear in mind that any and all services provided to the ILO are subject</w:t>
      </w:r>
      <w:r>
        <w:rPr>
          <w:rFonts w:asciiTheme="minorBidi" w:hAnsiTheme="minorBidi"/>
          <w:sz w:val="20"/>
          <w:szCs w:val="20"/>
        </w:rPr>
        <w:t xml:space="preserve"> </w:t>
      </w:r>
      <w:r w:rsidRPr="00E23CE3">
        <w:rPr>
          <w:rFonts w:asciiTheme="minorBidi" w:hAnsiTheme="minorBidi"/>
          <w:sz w:val="20"/>
          <w:szCs w:val="20"/>
        </w:rPr>
        <w:t>to the Terms and Conditions Applicable to ILO Contracts</w:t>
      </w:r>
      <w:r>
        <w:rPr>
          <w:rFonts w:asciiTheme="minorBidi" w:hAnsiTheme="minorBidi"/>
          <w:sz w:val="20"/>
          <w:szCs w:val="20"/>
        </w:rPr>
        <w:t xml:space="preserve">, </w:t>
      </w:r>
      <w:r w:rsidRPr="00E23CE3">
        <w:rPr>
          <w:rFonts w:asciiTheme="minorBidi" w:hAnsiTheme="minorBidi"/>
          <w:sz w:val="20"/>
          <w:szCs w:val="20"/>
        </w:rPr>
        <w:t xml:space="preserve">available at: </w:t>
      </w:r>
      <w:hyperlink r:id="rId13" w:history="1">
        <w:r w:rsidRPr="00170E85">
          <w:rPr>
            <w:rStyle w:val="Hyperlink"/>
            <w:rFonts w:asciiTheme="minorBidi" w:hAnsiTheme="minorBidi"/>
            <w:sz w:val="20"/>
            <w:szCs w:val="20"/>
          </w:rPr>
          <w:t>https://www.ilo.org/wcmsp5/groups/public/---ed_mas/---inter/documents/legaldocument/wcms_768752.pdf</w:t>
        </w:r>
      </w:hyperlink>
      <w:r>
        <w:rPr>
          <w:rFonts w:asciiTheme="minorBidi" w:hAnsiTheme="minorBidi"/>
          <w:sz w:val="20"/>
          <w:szCs w:val="20"/>
        </w:rPr>
        <w:t xml:space="preserve"> </w:t>
      </w:r>
    </w:p>
    <w:p w14:paraId="66A9A171" w14:textId="77777777" w:rsidR="000B5E12" w:rsidRDefault="000B5E12" w:rsidP="00730562">
      <w:pPr>
        <w:pStyle w:val="NormalBody"/>
        <w:spacing w:before="0" w:after="0"/>
        <w:jc w:val="left"/>
        <w:rPr>
          <w:b/>
        </w:rPr>
      </w:pPr>
    </w:p>
    <w:sectPr w:rsidR="000B5E12" w:rsidSect="00105E6D">
      <w:headerReference w:type="default" r:id="rId14"/>
      <w:headerReference w:type="first" r:id="rId15"/>
      <w:type w:val="oddPage"/>
      <w:pgSz w:w="11906" w:h="16838" w:code="9"/>
      <w:pgMar w:top="990" w:right="1134" w:bottom="964" w:left="1134" w:header="851" w:footer="30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C7736" w14:textId="77777777" w:rsidR="00F14577" w:rsidRDefault="00F14577" w:rsidP="00D83F6C">
      <w:pPr>
        <w:spacing w:line="240" w:lineRule="auto"/>
      </w:pPr>
      <w:r>
        <w:separator/>
      </w:r>
    </w:p>
    <w:p w14:paraId="29463A65" w14:textId="77777777" w:rsidR="00F14577" w:rsidRDefault="00F14577"/>
    <w:p w14:paraId="063AFE33" w14:textId="77777777" w:rsidR="00F14577" w:rsidRDefault="00F14577"/>
  </w:endnote>
  <w:endnote w:type="continuationSeparator" w:id="0">
    <w:p w14:paraId="6B6F317D" w14:textId="77777777" w:rsidR="00F14577" w:rsidRDefault="00F14577" w:rsidP="00D83F6C">
      <w:pPr>
        <w:spacing w:line="240" w:lineRule="auto"/>
      </w:pPr>
      <w:r>
        <w:continuationSeparator/>
      </w:r>
    </w:p>
    <w:p w14:paraId="23CA780E" w14:textId="77777777" w:rsidR="00F14577" w:rsidRDefault="00F14577"/>
    <w:p w14:paraId="296C7D71" w14:textId="77777777" w:rsidR="00F14577" w:rsidRDefault="00F14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oto Sans">
    <w:altName w:val="Noto Sans"/>
    <w:panose1 w:val="020B0502040504020204"/>
    <w:charset w:val="00"/>
    <w:family w:val="swiss"/>
    <w:pitch w:val="variable"/>
    <w:sig w:usb0="E00002FF" w:usb1="4000201F" w:usb2="08000029" w:usb3="00000000" w:csb0="0000019F" w:csb1="00000000"/>
  </w:font>
  <w:font w:name="Georgia Pro">
    <w:panose1 w:val="02040502050405020303"/>
    <w:charset w:val="00"/>
    <w:family w:val="roman"/>
    <w:pitch w:val="variable"/>
    <w:sig w:usb0="800002AF" w:usb1="0000000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emBd">
    <w:altName w:val="Calibri"/>
    <w:charset w:val="01"/>
    <w:family w:val="swiss"/>
    <w:pitch w:val="variable"/>
    <w:sig w:usb0="E00002FF" w:usb1="4000001F" w:usb2="08000029" w:usb3="00000000" w:csb0="00000000" w:csb1="00000000"/>
  </w:font>
  <w:font w:name="Overpass Light">
    <w:panose1 w:val="00000400000000000000"/>
    <w:charset w:val="00"/>
    <w:family w:val="auto"/>
    <w:pitch w:val="variable"/>
    <w:sig w:usb0="00000007" w:usb1="00000020" w:usb2="00000000" w:usb3="00000000" w:csb0="00000093" w:csb1="00000000"/>
  </w:font>
  <w:font w:name="Overpass">
    <w:panose1 w:val="00000500000000000000"/>
    <w:charset w:val="00"/>
    <w:family w:val="auto"/>
    <w:pitch w:val="variable"/>
    <w:sig w:usb0="00000007" w:usb1="0000002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454BB" w14:textId="77777777" w:rsidR="00F14577" w:rsidRPr="00AE3A50" w:rsidRDefault="00F14577" w:rsidP="00704A55">
      <w:pPr>
        <w:pStyle w:val="LineFootnote"/>
        <w:ind w:right="8789"/>
      </w:pPr>
    </w:p>
  </w:footnote>
  <w:footnote w:type="continuationSeparator" w:id="0">
    <w:p w14:paraId="0273769E" w14:textId="77777777" w:rsidR="00F14577" w:rsidRDefault="00F14577" w:rsidP="00D83F6C">
      <w:pPr>
        <w:spacing w:line="240" w:lineRule="auto"/>
      </w:pPr>
      <w:r>
        <w:continuationSeparator/>
      </w:r>
    </w:p>
    <w:p w14:paraId="229A4818" w14:textId="77777777" w:rsidR="00F14577" w:rsidRDefault="00F14577"/>
    <w:p w14:paraId="13CC7925" w14:textId="77777777" w:rsidR="00F14577" w:rsidRDefault="00F14577"/>
  </w:footnote>
  <w:footnote w:id="1">
    <w:p w14:paraId="34041C94" w14:textId="77777777" w:rsidR="00D802AD" w:rsidRPr="00AD0B2C" w:rsidRDefault="00D802AD" w:rsidP="00D802AD">
      <w:pPr>
        <w:pStyle w:val="FootnoteText"/>
        <w:rPr>
          <w:rFonts w:asciiTheme="minorBidi" w:hAnsiTheme="minorBidi" w:cstheme="minorBidi"/>
          <w:sz w:val="18"/>
          <w:szCs w:val="18"/>
          <w:lang w:val="en-US"/>
        </w:rPr>
      </w:pPr>
      <w:r w:rsidRPr="00AD0B2C">
        <w:rPr>
          <w:rStyle w:val="FootnoteReference"/>
          <w:rFonts w:asciiTheme="minorBidi" w:hAnsiTheme="minorBidi" w:cstheme="minorBidi"/>
          <w:sz w:val="18"/>
          <w:szCs w:val="18"/>
        </w:rPr>
        <w:footnoteRef/>
      </w:r>
      <w:r w:rsidRPr="00AD0B2C">
        <w:rPr>
          <w:rFonts w:asciiTheme="minorBidi" w:hAnsiTheme="minorBidi" w:cstheme="minorBidi"/>
          <w:sz w:val="18"/>
          <w:szCs w:val="18"/>
        </w:rPr>
        <w:t xml:space="preserve"> </w:t>
      </w:r>
      <w:r w:rsidRPr="00564F64">
        <w:rPr>
          <w:rFonts w:asciiTheme="minorBidi" w:hAnsiTheme="minorBidi" w:cstheme="minorBidi"/>
          <w:sz w:val="18"/>
          <w:szCs w:val="18"/>
          <w:lang w:val="en-IE"/>
        </w:rPr>
        <w:t xml:space="preserve">ILO, </w:t>
      </w:r>
      <w:hyperlink r:id="rId1" w:history="1">
        <w:r w:rsidRPr="00564F64">
          <w:rPr>
            <w:rStyle w:val="Hyperlink"/>
            <w:rFonts w:asciiTheme="minorBidi" w:hAnsiTheme="minorBidi" w:cstheme="minorBidi"/>
            <w:i/>
            <w:iCs/>
            <w:sz w:val="18"/>
            <w:szCs w:val="18"/>
            <w:lang w:val="en-IE"/>
          </w:rPr>
          <w:t>Iraq Labour Force Survey 2021</w:t>
        </w:r>
      </w:hyperlink>
      <w:r w:rsidRPr="00564F64">
        <w:rPr>
          <w:rFonts w:asciiTheme="minorBidi" w:hAnsiTheme="minorBidi" w:cstheme="minorBidi"/>
          <w:sz w:val="18"/>
          <w:szCs w:val="18"/>
          <w:lang w:val="en-IE"/>
        </w:rPr>
        <w:t>, July 2022.</w:t>
      </w:r>
    </w:p>
  </w:footnote>
  <w:footnote w:id="2">
    <w:p w14:paraId="1CC92811" w14:textId="77777777" w:rsidR="00D802AD" w:rsidRPr="00AD0B2C" w:rsidRDefault="00D802AD" w:rsidP="00D802AD">
      <w:pPr>
        <w:pStyle w:val="FootnoteText"/>
        <w:rPr>
          <w:rFonts w:asciiTheme="minorBidi" w:hAnsiTheme="minorBidi" w:cstheme="minorBidi"/>
          <w:sz w:val="18"/>
          <w:szCs w:val="18"/>
        </w:rPr>
      </w:pPr>
      <w:r w:rsidRPr="00AD0B2C">
        <w:rPr>
          <w:rStyle w:val="FootnoteReference"/>
          <w:rFonts w:asciiTheme="minorBidi" w:hAnsiTheme="minorBidi" w:cstheme="minorBidi"/>
          <w:sz w:val="18"/>
          <w:szCs w:val="18"/>
        </w:rPr>
        <w:footnoteRef/>
      </w:r>
      <w:r w:rsidRPr="00AD0B2C">
        <w:rPr>
          <w:rFonts w:asciiTheme="minorBidi" w:hAnsiTheme="minorBidi" w:cstheme="minorBidi"/>
          <w:sz w:val="18"/>
          <w:szCs w:val="18"/>
        </w:rPr>
        <w:t xml:space="preserve"> Rabi, Amjad (2022), </w:t>
      </w:r>
      <w:r w:rsidRPr="00AD0B2C">
        <w:rPr>
          <w:rFonts w:asciiTheme="minorBidi" w:hAnsiTheme="minorBidi" w:cstheme="minorBidi"/>
          <w:i/>
          <w:iCs/>
          <w:sz w:val="18"/>
          <w:szCs w:val="18"/>
        </w:rPr>
        <w:t>Generation 2050: Turning Iraq’s Demographic ‘Gift’ into an Economic Window of</w:t>
      </w:r>
      <w:r>
        <w:rPr>
          <w:rFonts w:asciiTheme="minorBidi" w:hAnsiTheme="minorBidi" w:cstheme="minorBidi"/>
          <w:i/>
          <w:iCs/>
          <w:sz w:val="18"/>
          <w:szCs w:val="18"/>
        </w:rPr>
        <w:t xml:space="preserve"> </w:t>
      </w:r>
      <w:r w:rsidRPr="00AD0B2C">
        <w:rPr>
          <w:rFonts w:asciiTheme="minorBidi" w:hAnsiTheme="minorBidi" w:cstheme="minorBidi"/>
          <w:i/>
          <w:iCs/>
          <w:sz w:val="18"/>
          <w:szCs w:val="18"/>
        </w:rPr>
        <w:t>Opportunity</w:t>
      </w:r>
      <w:r w:rsidRPr="00AD0B2C">
        <w:rPr>
          <w:rFonts w:asciiTheme="minorBidi" w:hAnsiTheme="minorBidi" w:cstheme="minorBidi"/>
          <w:sz w:val="18"/>
          <w:szCs w:val="18"/>
        </w:rPr>
        <w:t xml:space="preserve">, available </w:t>
      </w:r>
      <w:hyperlink r:id="rId2" w:history="1">
        <w:r w:rsidRPr="00AD0B2C">
          <w:rPr>
            <w:rStyle w:val="Hyperlink"/>
            <w:rFonts w:asciiTheme="minorBidi" w:hAnsiTheme="minorBidi" w:cstheme="minorBidi"/>
            <w:sz w:val="18"/>
            <w:szCs w:val="18"/>
          </w:rPr>
          <w:t>here</w:t>
        </w:r>
      </w:hyperlink>
    </w:p>
  </w:footnote>
  <w:footnote w:id="3">
    <w:p w14:paraId="6C12E6E5" w14:textId="77777777" w:rsidR="00D802AD" w:rsidRPr="00AD0B2C" w:rsidRDefault="00D802AD" w:rsidP="00D802AD">
      <w:pPr>
        <w:pStyle w:val="FootnoteText"/>
        <w:rPr>
          <w:rFonts w:asciiTheme="minorBidi" w:hAnsiTheme="minorBidi" w:cstheme="minorBidi"/>
          <w:sz w:val="18"/>
          <w:szCs w:val="18"/>
        </w:rPr>
      </w:pPr>
      <w:r w:rsidRPr="00AD0B2C">
        <w:rPr>
          <w:rStyle w:val="FootnoteReference"/>
          <w:rFonts w:asciiTheme="minorBidi" w:hAnsiTheme="minorBidi" w:cstheme="minorBidi"/>
          <w:sz w:val="18"/>
          <w:szCs w:val="18"/>
        </w:rPr>
        <w:footnoteRef/>
      </w:r>
      <w:r w:rsidRPr="00AD0B2C">
        <w:rPr>
          <w:rFonts w:asciiTheme="minorBidi" w:hAnsiTheme="minorBidi" w:cstheme="minorBidi"/>
          <w:sz w:val="18"/>
          <w:szCs w:val="18"/>
        </w:rPr>
        <w:t xml:space="preserve"> World Bank (2018), </w:t>
      </w:r>
      <w:r w:rsidRPr="00AD0B2C">
        <w:rPr>
          <w:rFonts w:asciiTheme="minorBidi" w:hAnsiTheme="minorBidi" w:cstheme="minorBidi"/>
          <w:i/>
          <w:iCs/>
          <w:sz w:val="18"/>
          <w:szCs w:val="18"/>
        </w:rPr>
        <w:t>Jobs in Iraq: A Primer on Job Creation in the Short Term</w:t>
      </w:r>
      <w:r w:rsidRPr="00AD0B2C">
        <w:rPr>
          <w:rFonts w:asciiTheme="minorBidi" w:hAnsiTheme="minorBidi" w:cstheme="minorBidi"/>
          <w:sz w:val="18"/>
          <w:szCs w:val="18"/>
        </w:rPr>
        <w:t xml:space="preserve">, available </w:t>
      </w:r>
      <w:hyperlink r:id="rId3" w:history="1">
        <w:r w:rsidRPr="00AD0B2C">
          <w:rPr>
            <w:rStyle w:val="Hyperlink"/>
            <w:rFonts w:asciiTheme="minorBidi" w:hAnsiTheme="minorBidi" w:cstheme="minorBidi"/>
            <w:sz w:val="18"/>
            <w:szCs w:val="18"/>
          </w:rPr>
          <w:t>here</w:t>
        </w:r>
      </w:hyperlink>
      <w:r w:rsidRPr="00AD0B2C">
        <w:rPr>
          <w:rFonts w:asciiTheme="minorBidi" w:hAnsiTheme="minorBidi" w:cstheme="minorBidi"/>
          <w:sz w:val="18"/>
          <w:szCs w:val="18"/>
        </w:rPr>
        <w:t>,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52C9" w14:textId="55484B8F" w:rsidR="000C6B31" w:rsidRDefault="000C6B31">
    <w:pPr>
      <w:pStyle w:val="Header"/>
    </w:pPr>
    <w:r w:rsidRPr="000C6B31">
      <w:rPr>
        <w:rFonts w:ascii="Calibri" w:eastAsia="Calibri" w:hAnsi="Calibri" w:cs="Cordia New"/>
        <w:bCs w:val="0"/>
        <w:color w:val="auto"/>
        <w:sz w:val="22"/>
        <w:szCs w:val="28"/>
        <w:lang w:val="en-US" w:bidi="th-TH"/>
      </w:rPr>
      <w:drawing>
        <wp:inline distT="0" distB="0" distL="0" distR="0" wp14:anchorId="2D87CD16" wp14:editId="2160CFFC">
          <wp:extent cx="2236259" cy="806450"/>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6212" cy="846102"/>
                  </a:xfrm>
                  <a:prstGeom prst="rect">
                    <a:avLst/>
                  </a:prstGeom>
                </pic:spPr>
              </pic:pic>
            </a:graphicData>
          </a:graphic>
        </wp:inline>
      </w:drawing>
    </w:r>
    <w:r>
      <w:ptab w:relativeTo="margin" w:alignment="center" w:leader="none"/>
    </w:r>
    <w:r>
      <w:ptab w:relativeTo="margin" w:alignment="right" w:leader="none"/>
    </w:r>
    <w:r w:rsidRPr="000C6B31">
      <w:rPr>
        <w:rFonts w:ascii="Calibri" w:eastAsia="Calibri" w:hAnsi="Calibri" w:cs="Arial"/>
        <w:bCs w:val="0"/>
        <w:color w:val="auto"/>
        <w:sz w:val="22"/>
        <w:szCs w:val="22"/>
      </w:rPr>
      <w:drawing>
        <wp:inline distT="0" distB="0" distL="0" distR="0" wp14:anchorId="66E71EC7" wp14:editId="4B94A1A4">
          <wp:extent cx="2255732" cy="1052295"/>
          <wp:effectExtent l="0" t="0" r="0" b="0"/>
          <wp:docPr id="186567320" name="Picture 4"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7320" name="Picture 4"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259396" cy="10540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588A" w14:textId="77777777" w:rsidR="004008F5" w:rsidRDefault="008A2425" w:rsidP="00F16B7C">
    <w:pPr>
      <w:pStyle w:val="Header"/>
      <w:spacing w:after="720"/>
    </w:pPr>
    <w:r w:rsidRPr="005A64D3">
      <w:rPr>
        <w:lang w:eastAsia="en-GB"/>
      </w:rPr>
      <w:drawing>
        <wp:inline distT="0" distB="0" distL="0" distR="0" wp14:anchorId="3320B037" wp14:editId="0814F744">
          <wp:extent cx="1675407" cy="610530"/>
          <wp:effectExtent l="0" t="0" r="1270" b="0"/>
          <wp:docPr id="1226275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pic:nvPicPr>
                <pic:blipFill>
                  <a:blip r:embed="rId1">
                    <a:extLst>
                      <a:ext uri="{96DAC541-7B7A-43D3-8B79-37D633B846F1}">
                        <asvg:svgBlip xmlns:asvg="http://schemas.microsoft.com/office/drawing/2016/SVG/main" r:embed="rId2"/>
                      </a:ext>
                    </a:extLst>
                  </a:blip>
                  <a:stretch>
                    <a:fillRect/>
                  </a:stretch>
                </pic:blipFill>
                <pic:spPr>
                  <a:xfrm>
                    <a:off x="0" y="0"/>
                    <a:ext cx="1675407" cy="610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1BC4"/>
    <w:multiLevelType w:val="hybridMultilevel"/>
    <w:tmpl w:val="287433FC"/>
    <w:lvl w:ilvl="0" w:tplc="08090019">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AB57812"/>
    <w:multiLevelType w:val="hybridMultilevel"/>
    <w:tmpl w:val="525E6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677A5"/>
    <w:multiLevelType w:val="hybridMultilevel"/>
    <w:tmpl w:val="74D6AE3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C93455"/>
    <w:multiLevelType w:val="hybridMultilevel"/>
    <w:tmpl w:val="A5FE6E7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B2D62"/>
    <w:multiLevelType w:val="hybridMultilevel"/>
    <w:tmpl w:val="64047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6715E"/>
    <w:multiLevelType w:val="hybridMultilevel"/>
    <w:tmpl w:val="915C08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9207BC"/>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1A61F70"/>
    <w:multiLevelType w:val="multilevel"/>
    <w:tmpl w:val="18303C52"/>
    <w:numStyleLink w:val="ListNumILO"/>
  </w:abstractNum>
  <w:abstractNum w:abstractNumId="8" w15:restartNumberingAfterBreak="0">
    <w:nsid w:val="24BA1A80"/>
    <w:multiLevelType w:val="multilevel"/>
    <w:tmpl w:val="2C169362"/>
    <w:styleLink w:val="Table-Box-GraphicTitle"/>
    <w:lvl w:ilvl="0">
      <w:start w:val="1"/>
      <w:numFmt w:val="bullet"/>
      <w:pStyle w:val="TableTitle"/>
      <w:lvlText w:val=""/>
      <w:lvlJc w:val="left"/>
      <w:pPr>
        <w:ind w:left="227" w:hanging="227"/>
      </w:pPr>
      <w:rPr>
        <w:rFonts w:ascii="Wingdings 3" w:hAnsi="Wingdings 3" w:cs="Times New Roman" w:hint="default"/>
        <w:color w:val="1E2DBE"/>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2C372B"/>
    <w:multiLevelType w:val="multilevel"/>
    <w:tmpl w:val="CE703C58"/>
    <w:numStyleLink w:val="KeyListILO"/>
  </w:abstractNum>
  <w:abstractNum w:abstractNumId="10" w15:restartNumberingAfterBreak="0">
    <w:nsid w:val="25CA6EA8"/>
    <w:multiLevelType w:val="hybridMultilevel"/>
    <w:tmpl w:val="949A5950"/>
    <w:lvl w:ilvl="0" w:tplc="6270EEAA">
      <w:start w:val="1"/>
      <w:numFmt w:val="decimal"/>
      <w:pStyle w:val="ParaNum"/>
      <w:lvlText w:val="%1."/>
      <w:lvlJc w:val="left"/>
      <w:pPr>
        <w:ind w:left="360" w:hanging="360"/>
      </w:pPr>
      <w:rPr>
        <w:rFonts w:ascii="Noto Sans" w:hAnsi="Noto Sans" w:cs="Noto Sans" w:hint="default"/>
        <w:b/>
        <w:i w:val="0"/>
        <w:color w:val="auto"/>
        <w:sz w:val="18"/>
        <w:szCs w:val="18"/>
      </w:rPr>
    </w:lvl>
    <w:lvl w:ilvl="1" w:tplc="032621D4">
      <w:start w:val="1"/>
      <w:numFmt w:val="lowerLetter"/>
      <w:lvlText w:val="(%2)"/>
      <w:lvlJc w:val="left"/>
      <w:pPr>
        <w:ind w:left="2227" w:hanging="720"/>
      </w:pPr>
      <w:rPr>
        <w:rFonts w:hint="default"/>
      </w:rPr>
    </w:lvl>
    <w:lvl w:ilvl="2" w:tplc="6868C14E">
      <w:start w:val="1"/>
      <w:numFmt w:val="lowerRoman"/>
      <w:lvlText w:val="(%3)"/>
      <w:lvlJc w:val="right"/>
      <w:pPr>
        <w:ind w:left="2587" w:hanging="180"/>
      </w:pPr>
      <w:rPr>
        <w:rFonts w:hint="default"/>
      </w:r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11" w15:restartNumberingAfterBreak="0">
    <w:nsid w:val="2A3732A3"/>
    <w:multiLevelType w:val="hybridMultilevel"/>
    <w:tmpl w:val="AE72D89C"/>
    <w:lvl w:ilvl="0" w:tplc="73E0C1BA">
      <w:start w:val="1"/>
      <w:numFmt w:val="bullet"/>
      <w:lvlText w:val=""/>
      <w:lvlJc w:val="left"/>
      <w:pPr>
        <w:ind w:left="720" w:hanging="360"/>
      </w:pPr>
      <w:rPr>
        <w:rFonts w:ascii="Symbol" w:hAnsi="Symbol" w:hint="default"/>
        <w:color w:val="1E2DBE"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6A29E5"/>
    <w:multiLevelType w:val="hybridMultilevel"/>
    <w:tmpl w:val="24227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BC1ABF"/>
    <w:multiLevelType w:val="hybridMultilevel"/>
    <w:tmpl w:val="976C791C"/>
    <w:lvl w:ilvl="0" w:tplc="73E0C1BA">
      <w:start w:val="1"/>
      <w:numFmt w:val="bullet"/>
      <w:lvlText w:val=""/>
      <w:lvlJc w:val="left"/>
      <w:pPr>
        <w:ind w:left="720" w:hanging="360"/>
      </w:pPr>
      <w:rPr>
        <w:rFonts w:ascii="Symbol" w:hAnsi="Symbol" w:hint="default"/>
        <w:color w:val="1E2DBE"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F55CD7"/>
    <w:multiLevelType w:val="multilevel"/>
    <w:tmpl w:val="CE703C58"/>
    <w:styleLink w:val="KeyListILO"/>
    <w:lvl w:ilvl="0">
      <w:start w:val="1"/>
      <w:numFmt w:val="bullet"/>
      <w:pStyle w:val="KeyList"/>
      <w:lvlText w:val=""/>
      <w:lvlJc w:val="left"/>
      <w:pPr>
        <w:ind w:left="227" w:hanging="227"/>
      </w:pPr>
      <w:rPr>
        <w:rFonts w:ascii="Wingdings 3" w:hAnsi="Wingdings 3" w:cs="Times New Roman" w:hint="default"/>
        <w:b w:val="0"/>
        <w:i w:val="0"/>
        <w:color w:val="FA3C4B"/>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26F7A65"/>
    <w:multiLevelType w:val="multilevel"/>
    <w:tmpl w:val="7C204AC2"/>
    <w:numStyleLink w:val="ListNoNumILO"/>
  </w:abstractNum>
  <w:abstractNum w:abstractNumId="16" w15:restartNumberingAfterBreak="0">
    <w:nsid w:val="332D7D2B"/>
    <w:multiLevelType w:val="hybridMultilevel"/>
    <w:tmpl w:val="51F2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EC5475"/>
    <w:multiLevelType w:val="hybridMultilevel"/>
    <w:tmpl w:val="DD92C77C"/>
    <w:lvl w:ilvl="0" w:tplc="A6EAC7AE">
      <w:numFmt w:val="bullet"/>
      <w:lvlText w:val="-"/>
      <w:lvlJc w:val="left"/>
      <w:pPr>
        <w:ind w:left="720" w:hanging="360"/>
      </w:pPr>
      <w:rPr>
        <w:rFonts w:ascii="Georgia Pro" w:eastAsia="Times New Roman" w:hAnsi="Georgia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B2107D"/>
    <w:multiLevelType w:val="hybridMultilevel"/>
    <w:tmpl w:val="8152B28C"/>
    <w:lvl w:ilvl="0" w:tplc="573878F2">
      <w:start w:val="1"/>
      <w:numFmt w:val="bullet"/>
      <w:pStyle w:val="DocumentTitle"/>
      <w:lvlText w:val=""/>
      <w:lvlJc w:val="left"/>
      <w:pPr>
        <w:ind w:left="1080" w:hanging="360"/>
      </w:pPr>
      <w:rPr>
        <w:rFonts w:ascii="Wingdings 3" w:hAnsi="Wingdings 3" w:cs="Symbol" w:hint="default"/>
        <w:color w:val="1E2DBE"/>
        <w:position w:val="4"/>
        <w:sz w:val="40"/>
        <w:szCs w:val="4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cs="Wingdings" w:hint="default"/>
      </w:rPr>
    </w:lvl>
    <w:lvl w:ilvl="3" w:tplc="100C0001" w:tentative="1">
      <w:start w:val="1"/>
      <w:numFmt w:val="bullet"/>
      <w:lvlText w:val=""/>
      <w:lvlJc w:val="left"/>
      <w:pPr>
        <w:ind w:left="3240" w:hanging="360"/>
      </w:pPr>
      <w:rPr>
        <w:rFonts w:ascii="Symbol" w:hAnsi="Symbol" w:cs="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cs="Wingdings" w:hint="default"/>
      </w:rPr>
    </w:lvl>
    <w:lvl w:ilvl="6" w:tplc="100C0001" w:tentative="1">
      <w:start w:val="1"/>
      <w:numFmt w:val="bullet"/>
      <w:lvlText w:val=""/>
      <w:lvlJc w:val="left"/>
      <w:pPr>
        <w:ind w:left="5400" w:hanging="360"/>
      </w:pPr>
      <w:rPr>
        <w:rFonts w:ascii="Symbol" w:hAnsi="Symbol" w:cs="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cs="Wingdings" w:hint="default"/>
      </w:rPr>
    </w:lvl>
  </w:abstractNum>
  <w:abstractNum w:abstractNumId="19" w15:restartNumberingAfterBreak="0">
    <w:nsid w:val="3957065B"/>
    <w:multiLevelType w:val="hybridMultilevel"/>
    <w:tmpl w:val="FC0CF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D1A89"/>
    <w:multiLevelType w:val="hybridMultilevel"/>
    <w:tmpl w:val="45903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B915A4"/>
    <w:multiLevelType w:val="hybridMultilevel"/>
    <w:tmpl w:val="3078B282"/>
    <w:lvl w:ilvl="0" w:tplc="D5F83EC8">
      <w:start w:val="1"/>
      <w:numFmt w:val="bullet"/>
      <w:pStyle w:val="QuoteDescription"/>
      <w:lvlText w:val=""/>
      <w:lvlJc w:val="left"/>
      <w:pPr>
        <w:ind w:left="720" w:hanging="360"/>
      </w:pPr>
      <w:rPr>
        <w:rFonts w:ascii="Wingdings 3" w:hAnsi="Wingdings 3" w:cs="Symbol" w:hint="default"/>
        <w:color w:val="FA3C4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BB668D6"/>
    <w:multiLevelType w:val="multilevel"/>
    <w:tmpl w:val="18303C52"/>
    <w:styleLink w:val="ListNumILO"/>
    <w:lvl w:ilvl="0">
      <w:start w:val="1"/>
      <w:numFmt w:val="decimal"/>
      <w:pStyle w:val="ListNum1"/>
      <w:lvlText w:val="%1."/>
      <w:lvlJc w:val="left"/>
      <w:pPr>
        <w:tabs>
          <w:tab w:val="num" w:pos="567"/>
        </w:tabs>
        <w:ind w:left="567" w:hanging="227"/>
      </w:pPr>
      <w:rPr>
        <w:rFonts w:cs="Times New Roman" w:hint="default"/>
        <w:b/>
        <w:i w:val="0"/>
        <w:color w:val="1E2DBE"/>
        <w:sz w:val="18"/>
        <w:szCs w:val="20"/>
      </w:rPr>
    </w:lvl>
    <w:lvl w:ilvl="1">
      <w:start w:val="1"/>
      <w:numFmt w:val="lowerLetter"/>
      <w:pStyle w:val="ListNum2"/>
      <w:lvlText w:val="%2."/>
      <w:lvlJc w:val="left"/>
      <w:pPr>
        <w:tabs>
          <w:tab w:val="num" w:pos="794"/>
        </w:tabs>
        <w:ind w:left="794" w:hanging="227"/>
      </w:pPr>
      <w:rPr>
        <w:rFonts w:hint="default"/>
        <w:b/>
        <w:i w:val="0"/>
        <w:color w:val="1E2DBE" w:themeColor="accent1"/>
      </w:rPr>
    </w:lvl>
    <w:lvl w:ilvl="2">
      <w:start w:val="1"/>
      <w:numFmt w:val="lowerRoman"/>
      <w:lvlText w:val="%3)"/>
      <w:lvlJc w:val="left"/>
      <w:pPr>
        <w:ind w:left="1134" w:hanging="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C34BDB"/>
    <w:multiLevelType w:val="hybridMultilevel"/>
    <w:tmpl w:val="B136FB76"/>
    <w:lvl w:ilvl="0" w:tplc="44A6FE82">
      <w:start w:val="1"/>
      <w:numFmt w:val="bullet"/>
      <w:pStyle w:val="BoxTitle"/>
      <w:lvlText w:val=""/>
      <w:lvlJc w:val="left"/>
      <w:pPr>
        <w:ind w:left="720" w:hanging="360"/>
      </w:pPr>
      <w:rPr>
        <w:rFonts w:ascii="Wingdings 3" w:hAnsi="Wingdings 3" w:hint="default"/>
        <w:color w:val="1E2DBE"/>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D505928"/>
    <w:multiLevelType w:val="hybridMultilevel"/>
    <w:tmpl w:val="2CEE3242"/>
    <w:lvl w:ilvl="0" w:tplc="7C566ABE">
      <w:start w:val="1"/>
      <w:numFmt w:val="bullet"/>
      <w:pStyle w:val="Headinglevel1"/>
      <w:lvlText w:val=""/>
      <w:lvlJc w:val="left"/>
      <w:pPr>
        <w:ind w:left="360" w:hanging="360"/>
      </w:pPr>
      <w:rPr>
        <w:rFonts w:ascii="Wingdings 3" w:hAnsi="Wingdings 3" w:cs="Symbol" w:hint="default"/>
        <w:color w:val="FA3C4B"/>
        <w:sz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30D01E6"/>
    <w:multiLevelType w:val="hybridMultilevel"/>
    <w:tmpl w:val="2A661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81511BD"/>
    <w:multiLevelType w:val="hybridMultilevel"/>
    <w:tmpl w:val="7DD86AA6"/>
    <w:lvl w:ilvl="0" w:tplc="ED208070">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C01582"/>
    <w:multiLevelType w:val="multilevel"/>
    <w:tmpl w:val="7C204AC2"/>
    <w:styleLink w:val="ListNoNumILO"/>
    <w:lvl w:ilvl="0">
      <w:start w:val="1"/>
      <w:numFmt w:val="bullet"/>
      <w:pStyle w:val="ListBullet1"/>
      <w:lvlText w:val="●"/>
      <w:lvlJc w:val="left"/>
      <w:pPr>
        <w:tabs>
          <w:tab w:val="num" w:pos="340"/>
        </w:tabs>
        <w:ind w:left="567" w:hanging="227"/>
      </w:pPr>
      <w:rPr>
        <w:rFonts w:ascii="Verdana" w:hAnsi="Verdana" w:cs="Times New Roman" w:hint="default"/>
        <w:color w:val="1E2DBE"/>
      </w:rPr>
    </w:lvl>
    <w:lvl w:ilvl="1">
      <w:start w:val="1"/>
      <w:numFmt w:val="bullet"/>
      <w:lvlRestart w:val="0"/>
      <w:pStyle w:val="ListBullet2"/>
      <w:lvlText w:val="o"/>
      <w:lvlJc w:val="left"/>
      <w:pPr>
        <w:tabs>
          <w:tab w:val="num" w:pos="567"/>
        </w:tabs>
        <w:ind w:left="794" w:hanging="227"/>
      </w:pPr>
      <w:rPr>
        <w:rFonts w:ascii="Courier New" w:hAnsi="Courier New" w:cs="Courier New" w:hint="default"/>
        <w:color w:val="1E2DBE"/>
      </w:rPr>
    </w:lvl>
    <w:lvl w:ilvl="2">
      <w:start w:val="1"/>
      <w:numFmt w:val="bullet"/>
      <w:lvlText w:val=""/>
      <w:lvlJc w:val="left"/>
      <w:pPr>
        <w:ind w:left="1134" w:hanging="340"/>
      </w:pPr>
      <w:rPr>
        <w:rFonts w:ascii="Symbol" w:hAnsi="Symbol"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EE72EA8"/>
    <w:multiLevelType w:val="multilevel"/>
    <w:tmpl w:val="2C169362"/>
    <w:numStyleLink w:val="Table-Box-GraphicTitle"/>
  </w:abstractNum>
  <w:abstractNum w:abstractNumId="29" w15:restartNumberingAfterBreak="0">
    <w:nsid w:val="58917B1C"/>
    <w:multiLevelType w:val="hybridMultilevel"/>
    <w:tmpl w:val="E9D669D8"/>
    <w:lvl w:ilvl="0" w:tplc="73E0C1BA">
      <w:start w:val="1"/>
      <w:numFmt w:val="bullet"/>
      <w:lvlText w:val=""/>
      <w:lvlJc w:val="left"/>
      <w:pPr>
        <w:ind w:left="720" w:hanging="360"/>
      </w:pPr>
      <w:rPr>
        <w:rFonts w:ascii="Symbol" w:hAnsi="Symbol" w:hint="default"/>
        <w:color w:val="1E2DBE"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D66935"/>
    <w:multiLevelType w:val="multilevel"/>
    <w:tmpl w:val="18303C52"/>
    <w:numStyleLink w:val="ListNumILO"/>
  </w:abstractNum>
  <w:abstractNum w:abstractNumId="31" w15:restartNumberingAfterBreak="0">
    <w:nsid w:val="62EF3334"/>
    <w:multiLevelType w:val="hybridMultilevel"/>
    <w:tmpl w:val="297CFFB4"/>
    <w:lvl w:ilvl="0" w:tplc="3008E838">
      <w:start w:val="1"/>
      <w:numFmt w:val="bullet"/>
      <w:lvlText w:val=""/>
      <w:lvlJc w:val="left"/>
      <w:pPr>
        <w:ind w:left="720" w:hanging="360"/>
      </w:pPr>
      <w:rPr>
        <w:rFonts w:ascii="Symbol" w:hAnsi="Symbol" w:hint="default"/>
        <w:color w:val="1E2DBE"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5A21F1"/>
    <w:multiLevelType w:val="hybridMultilevel"/>
    <w:tmpl w:val="BC8012E2"/>
    <w:lvl w:ilvl="0" w:tplc="B6FEC6E0">
      <w:start w:val="1"/>
      <w:numFmt w:val="bullet"/>
      <w:pStyle w:val="GraphicTitle"/>
      <w:lvlText w:val=""/>
      <w:lvlJc w:val="left"/>
      <w:pPr>
        <w:ind w:left="360" w:hanging="360"/>
      </w:pPr>
      <w:rPr>
        <w:rFonts w:ascii="Wingdings 3" w:hAnsi="Wingdings 3" w:hint="default"/>
        <w:color w:val="1E2DBE"/>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7824078"/>
    <w:multiLevelType w:val="hybridMultilevel"/>
    <w:tmpl w:val="1548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740379"/>
    <w:multiLevelType w:val="multilevel"/>
    <w:tmpl w:val="7C204AC2"/>
    <w:numStyleLink w:val="ListNoNumILO"/>
  </w:abstractNum>
  <w:abstractNum w:abstractNumId="35" w15:restartNumberingAfterBreak="0">
    <w:nsid w:val="72004538"/>
    <w:multiLevelType w:val="hybridMultilevel"/>
    <w:tmpl w:val="910C0F26"/>
    <w:lvl w:ilvl="0" w:tplc="73E0C1BA">
      <w:start w:val="1"/>
      <w:numFmt w:val="bullet"/>
      <w:lvlText w:val=""/>
      <w:lvlJc w:val="left"/>
      <w:pPr>
        <w:ind w:left="720" w:hanging="360"/>
      </w:pPr>
      <w:rPr>
        <w:rFonts w:ascii="Symbol" w:hAnsi="Symbol" w:hint="default"/>
        <w:color w:val="1E2DBE" w:themeColor="accent1"/>
      </w:rPr>
    </w:lvl>
    <w:lvl w:ilvl="1" w:tplc="F9387F6E">
      <w:numFmt w:val="bullet"/>
      <w:lvlText w:val="-"/>
      <w:lvlJc w:val="left"/>
      <w:pPr>
        <w:ind w:left="1440" w:hanging="360"/>
      </w:pPr>
      <w:rPr>
        <w:rFonts w:ascii="Noto Sans" w:eastAsia="Times New Roman" w:hAnsi="Noto Sans" w:cs="Noto Sans" w:hint="default"/>
      </w:rPr>
    </w:lvl>
    <w:lvl w:ilvl="2" w:tplc="2C182318" w:tentative="1">
      <w:start w:val="1"/>
      <w:numFmt w:val="bullet"/>
      <w:lvlText w:val=""/>
      <w:lvlJc w:val="left"/>
      <w:pPr>
        <w:ind w:left="2160" w:hanging="360"/>
      </w:pPr>
      <w:rPr>
        <w:rFonts w:ascii="Wingdings" w:hAnsi="Wingdings" w:hint="default"/>
      </w:rPr>
    </w:lvl>
    <w:lvl w:ilvl="3" w:tplc="D808537E" w:tentative="1">
      <w:start w:val="1"/>
      <w:numFmt w:val="bullet"/>
      <w:lvlText w:val=""/>
      <w:lvlJc w:val="left"/>
      <w:pPr>
        <w:ind w:left="2880" w:hanging="360"/>
      </w:pPr>
      <w:rPr>
        <w:rFonts w:ascii="Symbol" w:hAnsi="Symbol" w:hint="default"/>
      </w:rPr>
    </w:lvl>
    <w:lvl w:ilvl="4" w:tplc="79762B46" w:tentative="1">
      <w:start w:val="1"/>
      <w:numFmt w:val="bullet"/>
      <w:lvlText w:val="o"/>
      <w:lvlJc w:val="left"/>
      <w:pPr>
        <w:ind w:left="3600" w:hanging="360"/>
      </w:pPr>
      <w:rPr>
        <w:rFonts w:ascii="Courier New" w:hAnsi="Courier New" w:cs="Courier New" w:hint="default"/>
      </w:rPr>
    </w:lvl>
    <w:lvl w:ilvl="5" w:tplc="7C5667A2" w:tentative="1">
      <w:start w:val="1"/>
      <w:numFmt w:val="bullet"/>
      <w:lvlText w:val=""/>
      <w:lvlJc w:val="left"/>
      <w:pPr>
        <w:ind w:left="4320" w:hanging="360"/>
      </w:pPr>
      <w:rPr>
        <w:rFonts w:ascii="Wingdings" w:hAnsi="Wingdings" w:hint="default"/>
      </w:rPr>
    </w:lvl>
    <w:lvl w:ilvl="6" w:tplc="3A16E62A" w:tentative="1">
      <w:start w:val="1"/>
      <w:numFmt w:val="bullet"/>
      <w:lvlText w:val=""/>
      <w:lvlJc w:val="left"/>
      <w:pPr>
        <w:ind w:left="5040" w:hanging="360"/>
      </w:pPr>
      <w:rPr>
        <w:rFonts w:ascii="Symbol" w:hAnsi="Symbol" w:hint="default"/>
      </w:rPr>
    </w:lvl>
    <w:lvl w:ilvl="7" w:tplc="9F6A21EA" w:tentative="1">
      <w:start w:val="1"/>
      <w:numFmt w:val="bullet"/>
      <w:lvlText w:val="o"/>
      <w:lvlJc w:val="left"/>
      <w:pPr>
        <w:ind w:left="5760" w:hanging="360"/>
      </w:pPr>
      <w:rPr>
        <w:rFonts w:ascii="Courier New" w:hAnsi="Courier New" w:cs="Courier New" w:hint="default"/>
      </w:rPr>
    </w:lvl>
    <w:lvl w:ilvl="8" w:tplc="7646DE6E" w:tentative="1">
      <w:start w:val="1"/>
      <w:numFmt w:val="bullet"/>
      <w:lvlText w:val=""/>
      <w:lvlJc w:val="left"/>
      <w:pPr>
        <w:ind w:left="6480" w:hanging="360"/>
      </w:pPr>
      <w:rPr>
        <w:rFonts w:ascii="Wingdings" w:hAnsi="Wingdings" w:hint="default"/>
      </w:rPr>
    </w:lvl>
  </w:abstractNum>
  <w:abstractNum w:abstractNumId="36" w15:restartNumberingAfterBreak="0">
    <w:nsid w:val="7AEE4102"/>
    <w:multiLevelType w:val="hybridMultilevel"/>
    <w:tmpl w:val="B1C41C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3D71B5"/>
    <w:multiLevelType w:val="hybridMultilevel"/>
    <w:tmpl w:val="70BAEC84"/>
    <w:lvl w:ilvl="0" w:tplc="73E0C1BA">
      <w:start w:val="1"/>
      <w:numFmt w:val="bullet"/>
      <w:lvlText w:val=""/>
      <w:lvlJc w:val="left"/>
      <w:pPr>
        <w:ind w:left="360" w:hanging="360"/>
      </w:pPr>
      <w:rPr>
        <w:rFonts w:ascii="Symbol" w:hAnsi="Symbol" w:hint="default"/>
        <w:color w:val="1E2DBE"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02708221">
    <w:abstractNumId w:val="24"/>
  </w:num>
  <w:num w:numId="2" w16cid:durableId="1719012322">
    <w:abstractNumId w:val="21"/>
  </w:num>
  <w:num w:numId="3" w16cid:durableId="162820368">
    <w:abstractNumId w:val="22"/>
  </w:num>
  <w:num w:numId="4" w16cid:durableId="1682783420">
    <w:abstractNumId w:val="32"/>
  </w:num>
  <w:num w:numId="5" w16cid:durableId="1881747500">
    <w:abstractNumId w:val="18"/>
  </w:num>
  <w:num w:numId="6" w16cid:durableId="564995311">
    <w:abstractNumId w:val="10"/>
  </w:num>
  <w:num w:numId="7" w16cid:durableId="1935361524">
    <w:abstractNumId w:val="23"/>
  </w:num>
  <w:num w:numId="8" w16cid:durableId="1704599259">
    <w:abstractNumId w:val="27"/>
  </w:num>
  <w:num w:numId="9" w16cid:durableId="582223329">
    <w:abstractNumId w:val="6"/>
  </w:num>
  <w:num w:numId="10" w16cid:durableId="1246842009">
    <w:abstractNumId w:val="8"/>
  </w:num>
  <w:num w:numId="11" w16cid:durableId="1510679154">
    <w:abstractNumId w:val="28"/>
  </w:num>
  <w:num w:numId="12" w16cid:durableId="733773640">
    <w:abstractNumId w:val="30"/>
  </w:num>
  <w:num w:numId="13" w16cid:durableId="655299967">
    <w:abstractNumId w:val="7"/>
  </w:num>
  <w:num w:numId="14" w16cid:durableId="685905990">
    <w:abstractNumId w:val="15"/>
  </w:num>
  <w:num w:numId="15" w16cid:durableId="593825559">
    <w:abstractNumId w:val="34"/>
  </w:num>
  <w:num w:numId="16" w16cid:durableId="81336309">
    <w:abstractNumId w:val="14"/>
  </w:num>
  <w:num w:numId="17" w16cid:durableId="496724426">
    <w:abstractNumId w:val="9"/>
  </w:num>
  <w:num w:numId="18" w16cid:durableId="1767650388">
    <w:abstractNumId w:val="26"/>
  </w:num>
  <w:num w:numId="19" w16cid:durableId="1152016682">
    <w:abstractNumId w:val="4"/>
  </w:num>
  <w:num w:numId="20" w16cid:durableId="590700730">
    <w:abstractNumId w:val="36"/>
  </w:num>
  <w:num w:numId="21" w16cid:durableId="955479416">
    <w:abstractNumId w:val="0"/>
  </w:num>
  <w:num w:numId="22" w16cid:durableId="1870099839">
    <w:abstractNumId w:val="17"/>
  </w:num>
  <w:num w:numId="23" w16cid:durableId="643585810">
    <w:abstractNumId w:val="33"/>
  </w:num>
  <w:num w:numId="24" w16cid:durableId="1586916462">
    <w:abstractNumId w:val="20"/>
  </w:num>
  <w:num w:numId="25" w16cid:durableId="1075010383">
    <w:abstractNumId w:val="2"/>
  </w:num>
  <w:num w:numId="26" w16cid:durableId="886717493">
    <w:abstractNumId w:val="25"/>
  </w:num>
  <w:num w:numId="27" w16cid:durableId="506556294">
    <w:abstractNumId w:val="16"/>
  </w:num>
  <w:num w:numId="28" w16cid:durableId="1522012701">
    <w:abstractNumId w:val="3"/>
  </w:num>
  <w:num w:numId="29" w16cid:durableId="1004479697">
    <w:abstractNumId w:val="24"/>
  </w:num>
  <w:num w:numId="30" w16cid:durableId="491065655">
    <w:abstractNumId w:val="24"/>
  </w:num>
  <w:num w:numId="31" w16cid:durableId="314455301">
    <w:abstractNumId w:val="19"/>
  </w:num>
  <w:num w:numId="32" w16cid:durableId="1503007768">
    <w:abstractNumId w:val="15"/>
  </w:num>
  <w:num w:numId="33" w16cid:durableId="525364451">
    <w:abstractNumId w:val="1"/>
  </w:num>
  <w:num w:numId="34" w16cid:durableId="1790391961">
    <w:abstractNumId w:val="29"/>
  </w:num>
  <w:num w:numId="35" w16cid:durableId="1618223080">
    <w:abstractNumId w:val="12"/>
  </w:num>
  <w:num w:numId="36" w16cid:durableId="1073745267">
    <w:abstractNumId w:val="24"/>
  </w:num>
  <w:num w:numId="37" w16cid:durableId="623779938">
    <w:abstractNumId w:val="35"/>
  </w:num>
  <w:num w:numId="38" w16cid:durableId="1552420396">
    <w:abstractNumId w:val="24"/>
  </w:num>
  <w:num w:numId="39" w16cid:durableId="323318652">
    <w:abstractNumId w:val="24"/>
  </w:num>
  <w:num w:numId="40" w16cid:durableId="789055223">
    <w:abstractNumId w:val="31"/>
  </w:num>
  <w:num w:numId="41" w16cid:durableId="1624271202">
    <w:abstractNumId w:val="15"/>
  </w:num>
  <w:num w:numId="42" w16cid:durableId="2065254532">
    <w:abstractNumId w:val="5"/>
  </w:num>
  <w:num w:numId="43" w16cid:durableId="1793135157">
    <w:abstractNumId w:val="37"/>
  </w:num>
  <w:num w:numId="44" w16cid:durableId="1984190046">
    <w:abstractNumId w:val="11"/>
  </w:num>
  <w:num w:numId="45" w16cid:durableId="36838547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9"/>
  <w:hyphenationZone w:val="425"/>
  <w:clickAndTypeStyle w:val="NormalBody"/>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B7"/>
    <w:rsid w:val="00000E18"/>
    <w:rsid w:val="00001168"/>
    <w:rsid w:val="00001A6E"/>
    <w:rsid w:val="00001AD1"/>
    <w:rsid w:val="00002E24"/>
    <w:rsid w:val="00002FCA"/>
    <w:rsid w:val="00003AB9"/>
    <w:rsid w:val="00005078"/>
    <w:rsid w:val="00006CF6"/>
    <w:rsid w:val="00006FDE"/>
    <w:rsid w:val="000072DB"/>
    <w:rsid w:val="00007BEB"/>
    <w:rsid w:val="00012709"/>
    <w:rsid w:val="00012EC7"/>
    <w:rsid w:val="00013932"/>
    <w:rsid w:val="000140E3"/>
    <w:rsid w:val="0001436B"/>
    <w:rsid w:val="00014F73"/>
    <w:rsid w:val="00015C53"/>
    <w:rsid w:val="00016C2A"/>
    <w:rsid w:val="00017713"/>
    <w:rsid w:val="00020061"/>
    <w:rsid w:val="000217AB"/>
    <w:rsid w:val="00021C5E"/>
    <w:rsid w:val="0002255C"/>
    <w:rsid w:val="000252E0"/>
    <w:rsid w:val="000276B2"/>
    <w:rsid w:val="0003067F"/>
    <w:rsid w:val="0003158E"/>
    <w:rsid w:val="00031A57"/>
    <w:rsid w:val="00032744"/>
    <w:rsid w:val="00033DBA"/>
    <w:rsid w:val="00036CB2"/>
    <w:rsid w:val="00036DDB"/>
    <w:rsid w:val="0003715D"/>
    <w:rsid w:val="000402F8"/>
    <w:rsid w:val="00040505"/>
    <w:rsid w:val="00042CD4"/>
    <w:rsid w:val="00043FDB"/>
    <w:rsid w:val="00044F2B"/>
    <w:rsid w:val="00045D62"/>
    <w:rsid w:val="0004611C"/>
    <w:rsid w:val="00046C0C"/>
    <w:rsid w:val="00047081"/>
    <w:rsid w:val="0004760B"/>
    <w:rsid w:val="000502A4"/>
    <w:rsid w:val="000532D2"/>
    <w:rsid w:val="00054B01"/>
    <w:rsid w:val="000574CB"/>
    <w:rsid w:val="000607B7"/>
    <w:rsid w:val="00060D7E"/>
    <w:rsid w:val="000617CD"/>
    <w:rsid w:val="00062DA8"/>
    <w:rsid w:val="00063E9C"/>
    <w:rsid w:val="00070EE0"/>
    <w:rsid w:val="000723C1"/>
    <w:rsid w:val="00072B1D"/>
    <w:rsid w:val="00072BBE"/>
    <w:rsid w:val="00072BCD"/>
    <w:rsid w:val="00072C74"/>
    <w:rsid w:val="00073945"/>
    <w:rsid w:val="00073D56"/>
    <w:rsid w:val="0007457F"/>
    <w:rsid w:val="00075166"/>
    <w:rsid w:val="0007665C"/>
    <w:rsid w:val="0007748A"/>
    <w:rsid w:val="00077BBA"/>
    <w:rsid w:val="000802F9"/>
    <w:rsid w:val="00081538"/>
    <w:rsid w:val="0008490E"/>
    <w:rsid w:val="00085247"/>
    <w:rsid w:val="00085ED1"/>
    <w:rsid w:val="00087CAD"/>
    <w:rsid w:val="000904A8"/>
    <w:rsid w:val="00090DB9"/>
    <w:rsid w:val="00093160"/>
    <w:rsid w:val="00093506"/>
    <w:rsid w:val="000945A1"/>
    <w:rsid w:val="00094BC6"/>
    <w:rsid w:val="00095AE5"/>
    <w:rsid w:val="00096105"/>
    <w:rsid w:val="00096FF0"/>
    <w:rsid w:val="000A0F03"/>
    <w:rsid w:val="000A17D0"/>
    <w:rsid w:val="000A32BD"/>
    <w:rsid w:val="000A38E6"/>
    <w:rsid w:val="000A44C2"/>
    <w:rsid w:val="000A59CA"/>
    <w:rsid w:val="000A6F26"/>
    <w:rsid w:val="000A730D"/>
    <w:rsid w:val="000A7E8A"/>
    <w:rsid w:val="000B19EC"/>
    <w:rsid w:val="000B3F8D"/>
    <w:rsid w:val="000B514D"/>
    <w:rsid w:val="000B5E12"/>
    <w:rsid w:val="000B6010"/>
    <w:rsid w:val="000C3669"/>
    <w:rsid w:val="000C4E01"/>
    <w:rsid w:val="000C4ED2"/>
    <w:rsid w:val="000C5053"/>
    <w:rsid w:val="000C6B31"/>
    <w:rsid w:val="000C7155"/>
    <w:rsid w:val="000D0329"/>
    <w:rsid w:val="000D10A3"/>
    <w:rsid w:val="000D1345"/>
    <w:rsid w:val="000D34AD"/>
    <w:rsid w:val="000D4760"/>
    <w:rsid w:val="000D4A89"/>
    <w:rsid w:val="000D6166"/>
    <w:rsid w:val="000D7C02"/>
    <w:rsid w:val="000D7F2A"/>
    <w:rsid w:val="000E434C"/>
    <w:rsid w:val="000E5360"/>
    <w:rsid w:val="000F3BA9"/>
    <w:rsid w:val="000F5176"/>
    <w:rsid w:val="000F6F99"/>
    <w:rsid w:val="00100934"/>
    <w:rsid w:val="00101DF5"/>
    <w:rsid w:val="001021F4"/>
    <w:rsid w:val="0010453C"/>
    <w:rsid w:val="001046F5"/>
    <w:rsid w:val="00105E6D"/>
    <w:rsid w:val="00110577"/>
    <w:rsid w:val="0011069F"/>
    <w:rsid w:val="00110A2A"/>
    <w:rsid w:val="00111560"/>
    <w:rsid w:val="00111C06"/>
    <w:rsid w:val="00111F8B"/>
    <w:rsid w:val="00112320"/>
    <w:rsid w:val="00112384"/>
    <w:rsid w:val="00113BDC"/>
    <w:rsid w:val="00117007"/>
    <w:rsid w:val="0011705F"/>
    <w:rsid w:val="00117871"/>
    <w:rsid w:val="00120895"/>
    <w:rsid w:val="001218D2"/>
    <w:rsid w:val="001256A4"/>
    <w:rsid w:val="00126A6F"/>
    <w:rsid w:val="001278F2"/>
    <w:rsid w:val="001303B5"/>
    <w:rsid w:val="00131291"/>
    <w:rsid w:val="00131590"/>
    <w:rsid w:val="00132910"/>
    <w:rsid w:val="00133863"/>
    <w:rsid w:val="001339AD"/>
    <w:rsid w:val="00133AE9"/>
    <w:rsid w:val="00133BF9"/>
    <w:rsid w:val="0013688E"/>
    <w:rsid w:val="00137366"/>
    <w:rsid w:val="0014008D"/>
    <w:rsid w:val="00141C9B"/>
    <w:rsid w:val="00141FB1"/>
    <w:rsid w:val="00143156"/>
    <w:rsid w:val="001451C9"/>
    <w:rsid w:val="001453C7"/>
    <w:rsid w:val="001467C1"/>
    <w:rsid w:val="001503F2"/>
    <w:rsid w:val="001504DF"/>
    <w:rsid w:val="00150A54"/>
    <w:rsid w:val="0015103F"/>
    <w:rsid w:val="00151623"/>
    <w:rsid w:val="0015207E"/>
    <w:rsid w:val="001527C0"/>
    <w:rsid w:val="0015281B"/>
    <w:rsid w:val="001535A3"/>
    <w:rsid w:val="001546A7"/>
    <w:rsid w:val="00154EF7"/>
    <w:rsid w:val="00155354"/>
    <w:rsid w:val="001566B2"/>
    <w:rsid w:val="00156A39"/>
    <w:rsid w:val="001612D7"/>
    <w:rsid w:val="00162317"/>
    <w:rsid w:val="00163FC4"/>
    <w:rsid w:val="00166600"/>
    <w:rsid w:val="001669C0"/>
    <w:rsid w:val="001672A8"/>
    <w:rsid w:val="00170DC5"/>
    <w:rsid w:val="00172D35"/>
    <w:rsid w:val="00175B1C"/>
    <w:rsid w:val="0017611D"/>
    <w:rsid w:val="00181747"/>
    <w:rsid w:val="00181920"/>
    <w:rsid w:val="001825D6"/>
    <w:rsid w:val="00182BF8"/>
    <w:rsid w:val="0018518D"/>
    <w:rsid w:val="001878DB"/>
    <w:rsid w:val="001900A1"/>
    <w:rsid w:val="00191441"/>
    <w:rsid w:val="00191FF9"/>
    <w:rsid w:val="001A3702"/>
    <w:rsid w:val="001A3829"/>
    <w:rsid w:val="001B0E45"/>
    <w:rsid w:val="001B1BB2"/>
    <w:rsid w:val="001B2457"/>
    <w:rsid w:val="001B7ED8"/>
    <w:rsid w:val="001C063C"/>
    <w:rsid w:val="001C1112"/>
    <w:rsid w:val="001C37B7"/>
    <w:rsid w:val="001C3FD7"/>
    <w:rsid w:val="001C4349"/>
    <w:rsid w:val="001D155F"/>
    <w:rsid w:val="001D20E5"/>
    <w:rsid w:val="001D46D3"/>
    <w:rsid w:val="001D5CB0"/>
    <w:rsid w:val="001D6424"/>
    <w:rsid w:val="001E1449"/>
    <w:rsid w:val="001E22A8"/>
    <w:rsid w:val="001E35AB"/>
    <w:rsid w:val="001E3B5F"/>
    <w:rsid w:val="001E5240"/>
    <w:rsid w:val="001E6191"/>
    <w:rsid w:val="001E6D11"/>
    <w:rsid w:val="001F2649"/>
    <w:rsid w:val="001F36E5"/>
    <w:rsid w:val="001F3DCC"/>
    <w:rsid w:val="001F3F6B"/>
    <w:rsid w:val="001F4393"/>
    <w:rsid w:val="001F48A6"/>
    <w:rsid w:val="001F646F"/>
    <w:rsid w:val="001F71E8"/>
    <w:rsid w:val="001F7761"/>
    <w:rsid w:val="0020056C"/>
    <w:rsid w:val="00200BC5"/>
    <w:rsid w:val="00203484"/>
    <w:rsid w:val="00206C54"/>
    <w:rsid w:val="002078B1"/>
    <w:rsid w:val="002105BA"/>
    <w:rsid w:val="00211356"/>
    <w:rsid w:val="00211BA4"/>
    <w:rsid w:val="00212487"/>
    <w:rsid w:val="002125BA"/>
    <w:rsid w:val="00212BEC"/>
    <w:rsid w:val="00213105"/>
    <w:rsid w:val="00220076"/>
    <w:rsid w:val="00220120"/>
    <w:rsid w:val="00220513"/>
    <w:rsid w:val="00222013"/>
    <w:rsid w:val="002223B2"/>
    <w:rsid w:val="00222415"/>
    <w:rsid w:val="002225FD"/>
    <w:rsid w:val="0022352D"/>
    <w:rsid w:val="00223878"/>
    <w:rsid w:val="00226F03"/>
    <w:rsid w:val="0023151D"/>
    <w:rsid w:val="00231C58"/>
    <w:rsid w:val="00232D8B"/>
    <w:rsid w:val="00233FCE"/>
    <w:rsid w:val="00234030"/>
    <w:rsid w:val="00237512"/>
    <w:rsid w:val="00240CFC"/>
    <w:rsid w:val="00241016"/>
    <w:rsid w:val="00243966"/>
    <w:rsid w:val="00243FD1"/>
    <w:rsid w:val="00250741"/>
    <w:rsid w:val="00251B09"/>
    <w:rsid w:val="00251EEC"/>
    <w:rsid w:val="0025292B"/>
    <w:rsid w:val="00253E4E"/>
    <w:rsid w:val="00257224"/>
    <w:rsid w:val="00257677"/>
    <w:rsid w:val="0025785F"/>
    <w:rsid w:val="00257E40"/>
    <w:rsid w:val="00262B92"/>
    <w:rsid w:val="00262C4D"/>
    <w:rsid w:val="00263F03"/>
    <w:rsid w:val="00263F35"/>
    <w:rsid w:val="002648ED"/>
    <w:rsid w:val="002664F3"/>
    <w:rsid w:val="00267EB6"/>
    <w:rsid w:val="00270FA0"/>
    <w:rsid w:val="00272153"/>
    <w:rsid w:val="00273FEE"/>
    <w:rsid w:val="0027406A"/>
    <w:rsid w:val="00275216"/>
    <w:rsid w:val="002753F7"/>
    <w:rsid w:val="00277720"/>
    <w:rsid w:val="00280B29"/>
    <w:rsid w:val="002843A8"/>
    <w:rsid w:val="002904D7"/>
    <w:rsid w:val="00290CD7"/>
    <w:rsid w:val="00291721"/>
    <w:rsid w:val="00292040"/>
    <w:rsid w:val="002920FB"/>
    <w:rsid w:val="00293D6D"/>
    <w:rsid w:val="00294B42"/>
    <w:rsid w:val="00295FF9"/>
    <w:rsid w:val="00296F61"/>
    <w:rsid w:val="002971BE"/>
    <w:rsid w:val="002A55B9"/>
    <w:rsid w:val="002A59FE"/>
    <w:rsid w:val="002A6CED"/>
    <w:rsid w:val="002A7D6C"/>
    <w:rsid w:val="002B1009"/>
    <w:rsid w:val="002B1E3D"/>
    <w:rsid w:val="002B74F3"/>
    <w:rsid w:val="002C04F8"/>
    <w:rsid w:val="002C0953"/>
    <w:rsid w:val="002C1DFB"/>
    <w:rsid w:val="002C23CD"/>
    <w:rsid w:val="002C28DB"/>
    <w:rsid w:val="002C4131"/>
    <w:rsid w:val="002C4964"/>
    <w:rsid w:val="002C57EA"/>
    <w:rsid w:val="002D098C"/>
    <w:rsid w:val="002D1348"/>
    <w:rsid w:val="002D1FF0"/>
    <w:rsid w:val="002D249C"/>
    <w:rsid w:val="002D325C"/>
    <w:rsid w:val="002D47CF"/>
    <w:rsid w:val="002D4A7F"/>
    <w:rsid w:val="002D4AEE"/>
    <w:rsid w:val="002D4CDC"/>
    <w:rsid w:val="002D70F5"/>
    <w:rsid w:val="002D729C"/>
    <w:rsid w:val="002D7D5B"/>
    <w:rsid w:val="002D7F37"/>
    <w:rsid w:val="002E1619"/>
    <w:rsid w:val="002E29EF"/>
    <w:rsid w:val="002E3561"/>
    <w:rsid w:val="002E4630"/>
    <w:rsid w:val="002F0BE1"/>
    <w:rsid w:val="002F2A0A"/>
    <w:rsid w:val="002F3A34"/>
    <w:rsid w:val="002F767C"/>
    <w:rsid w:val="00301E65"/>
    <w:rsid w:val="00305213"/>
    <w:rsid w:val="00306183"/>
    <w:rsid w:val="0030624A"/>
    <w:rsid w:val="003073A3"/>
    <w:rsid w:val="003079B4"/>
    <w:rsid w:val="003127F2"/>
    <w:rsid w:val="00314440"/>
    <w:rsid w:val="0031453D"/>
    <w:rsid w:val="00315973"/>
    <w:rsid w:val="003173B2"/>
    <w:rsid w:val="00320C56"/>
    <w:rsid w:val="0032203F"/>
    <w:rsid w:val="00322D2B"/>
    <w:rsid w:val="0032377B"/>
    <w:rsid w:val="00323BF9"/>
    <w:rsid w:val="003241F0"/>
    <w:rsid w:val="00324EBE"/>
    <w:rsid w:val="00325170"/>
    <w:rsid w:val="00325D70"/>
    <w:rsid w:val="00326415"/>
    <w:rsid w:val="00327AF9"/>
    <w:rsid w:val="00327C09"/>
    <w:rsid w:val="00330BF9"/>
    <w:rsid w:val="00330F31"/>
    <w:rsid w:val="0033219F"/>
    <w:rsid w:val="00333318"/>
    <w:rsid w:val="0033367C"/>
    <w:rsid w:val="0033665A"/>
    <w:rsid w:val="00336AE1"/>
    <w:rsid w:val="00341B2F"/>
    <w:rsid w:val="003422F4"/>
    <w:rsid w:val="003432F4"/>
    <w:rsid w:val="00343635"/>
    <w:rsid w:val="00343E28"/>
    <w:rsid w:val="0034519C"/>
    <w:rsid w:val="00345D28"/>
    <w:rsid w:val="00346F7F"/>
    <w:rsid w:val="00347261"/>
    <w:rsid w:val="0034752C"/>
    <w:rsid w:val="00350C8E"/>
    <w:rsid w:val="003515CE"/>
    <w:rsid w:val="00354A54"/>
    <w:rsid w:val="00355D36"/>
    <w:rsid w:val="003631EB"/>
    <w:rsid w:val="003634C1"/>
    <w:rsid w:val="003639DC"/>
    <w:rsid w:val="003668C9"/>
    <w:rsid w:val="00366A7F"/>
    <w:rsid w:val="00367219"/>
    <w:rsid w:val="00367274"/>
    <w:rsid w:val="0036768B"/>
    <w:rsid w:val="0037023D"/>
    <w:rsid w:val="00371A62"/>
    <w:rsid w:val="0037473E"/>
    <w:rsid w:val="003747D0"/>
    <w:rsid w:val="0037487F"/>
    <w:rsid w:val="003766A8"/>
    <w:rsid w:val="00376F47"/>
    <w:rsid w:val="00376FA8"/>
    <w:rsid w:val="0038076D"/>
    <w:rsid w:val="00381672"/>
    <w:rsid w:val="00383ED8"/>
    <w:rsid w:val="00385CFB"/>
    <w:rsid w:val="00386289"/>
    <w:rsid w:val="003865D7"/>
    <w:rsid w:val="003875F9"/>
    <w:rsid w:val="003908FB"/>
    <w:rsid w:val="003928ED"/>
    <w:rsid w:val="00392E47"/>
    <w:rsid w:val="00393266"/>
    <w:rsid w:val="0039339F"/>
    <w:rsid w:val="00393B26"/>
    <w:rsid w:val="00394B43"/>
    <w:rsid w:val="00394E15"/>
    <w:rsid w:val="00395613"/>
    <w:rsid w:val="00396EED"/>
    <w:rsid w:val="003A01EA"/>
    <w:rsid w:val="003A03F3"/>
    <w:rsid w:val="003A1567"/>
    <w:rsid w:val="003A3163"/>
    <w:rsid w:val="003A36BC"/>
    <w:rsid w:val="003A46A4"/>
    <w:rsid w:val="003A7FF7"/>
    <w:rsid w:val="003B2658"/>
    <w:rsid w:val="003B270B"/>
    <w:rsid w:val="003B377F"/>
    <w:rsid w:val="003B3C8A"/>
    <w:rsid w:val="003B54D6"/>
    <w:rsid w:val="003B5750"/>
    <w:rsid w:val="003B6712"/>
    <w:rsid w:val="003B7E83"/>
    <w:rsid w:val="003C104F"/>
    <w:rsid w:val="003C159D"/>
    <w:rsid w:val="003C181A"/>
    <w:rsid w:val="003C1A03"/>
    <w:rsid w:val="003C2F2C"/>
    <w:rsid w:val="003C424E"/>
    <w:rsid w:val="003C469D"/>
    <w:rsid w:val="003C5098"/>
    <w:rsid w:val="003C51E7"/>
    <w:rsid w:val="003C68D0"/>
    <w:rsid w:val="003C7137"/>
    <w:rsid w:val="003D0E69"/>
    <w:rsid w:val="003D1592"/>
    <w:rsid w:val="003D188B"/>
    <w:rsid w:val="003D5000"/>
    <w:rsid w:val="003E15F8"/>
    <w:rsid w:val="003E26C8"/>
    <w:rsid w:val="003E41B9"/>
    <w:rsid w:val="003E4C73"/>
    <w:rsid w:val="003E4F2A"/>
    <w:rsid w:val="003E4F37"/>
    <w:rsid w:val="003E5B0F"/>
    <w:rsid w:val="003E77E7"/>
    <w:rsid w:val="003E7CC0"/>
    <w:rsid w:val="003F1553"/>
    <w:rsid w:val="003F234F"/>
    <w:rsid w:val="003F262D"/>
    <w:rsid w:val="003F35B9"/>
    <w:rsid w:val="003F4235"/>
    <w:rsid w:val="003F489A"/>
    <w:rsid w:val="003F5003"/>
    <w:rsid w:val="003F5EEB"/>
    <w:rsid w:val="003F698A"/>
    <w:rsid w:val="003F6D16"/>
    <w:rsid w:val="00400148"/>
    <w:rsid w:val="004008F5"/>
    <w:rsid w:val="0040149E"/>
    <w:rsid w:val="00402A42"/>
    <w:rsid w:val="00403E96"/>
    <w:rsid w:val="00405768"/>
    <w:rsid w:val="00406AEA"/>
    <w:rsid w:val="00407F76"/>
    <w:rsid w:val="00412752"/>
    <w:rsid w:val="004134BB"/>
    <w:rsid w:val="0041369A"/>
    <w:rsid w:val="00414262"/>
    <w:rsid w:val="00414887"/>
    <w:rsid w:val="004154A2"/>
    <w:rsid w:val="00415E98"/>
    <w:rsid w:val="00416960"/>
    <w:rsid w:val="004179DC"/>
    <w:rsid w:val="00420A5A"/>
    <w:rsid w:val="0042219B"/>
    <w:rsid w:val="004221B8"/>
    <w:rsid w:val="00422530"/>
    <w:rsid w:val="00423296"/>
    <w:rsid w:val="00423C80"/>
    <w:rsid w:val="00424EB7"/>
    <w:rsid w:val="0042520B"/>
    <w:rsid w:val="00425B11"/>
    <w:rsid w:val="004276DB"/>
    <w:rsid w:val="00433887"/>
    <w:rsid w:val="004338A3"/>
    <w:rsid w:val="00433939"/>
    <w:rsid w:val="004352A4"/>
    <w:rsid w:val="00436F6D"/>
    <w:rsid w:val="00437122"/>
    <w:rsid w:val="0043721F"/>
    <w:rsid w:val="004400A1"/>
    <w:rsid w:val="00440A2E"/>
    <w:rsid w:val="00441F04"/>
    <w:rsid w:val="00442A9C"/>
    <w:rsid w:val="00444034"/>
    <w:rsid w:val="004441CE"/>
    <w:rsid w:val="00444A8B"/>
    <w:rsid w:val="004455C6"/>
    <w:rsid w:val="00445B47"/>
    <w:rsid w:val="004478EA"/>
    <w:rsid w:val="00447ACD"/>
    <w:rsid w:val="00447D43"/>
    <w:rsid w:val="004503F9"/>
    <w:rsid w:val="004513E5"/>
    <w:rsid w:val="00451665"/>
    <w:rsid w:val="004523CA"/>
    <w:rsid w:val="00452B15"/>
    <w:rsid w:val="004537B0"/>
    <w:rsid w:val="00453E9B"/>
    <w:rsid w:val="00454740"/>
    <w:rsid w:val="004561AF"/>
    <w:rsid w:val="00456B3B"/>
    <w:rsid w:val="00460720"/>
    <w:rsid w:val="00460FE9"/>
    <w:rsid w:val="00461601"/>
    <w:rsid w:val="004616D1"/>
    <w:rsid w:val="004661F4"/>
    <w:rsid w:val="0046708A"/>
    <w:rsid w:val="00467624"/>
    <w:rsid w:val="0046788B"/>
    <w:rsid w:val="0047049E"/>
    <w:rsid w:val="00470B14"/>
    <w:rsid w:val="00471102"/>
    <w:rsid w:val="004714BA"/>
    <w:rsid w:val="00471E6F"/>
    <w:rsid w:val="0047393F"/>
    <w:rsid w:val="004745BE"/>
    <w:rsid w:val="00474C14"/>
    <w:rsid w:val="00475D29"/>
    <w:rsid w:val="00475EC8"/>
    <w:rsid w:val="004765A5"/>
    <w:rsid w:val="004770EE"/>
    <w:rsid w:val="00477349"/>
    <w:rsid w:val="00481C1B"/>
    <w:rsid w:val="00482525"/>
    <w:rsid w:val="00486C6E"/>
    <w:rsid w:val="00487755"/>
    <w:rsid w:val="00491BB2"/>
    <w:rsid w:val="004920C2"/>
    <w:rsid w:val="0049286A"/>
    <w:rsid w:val="0049555A"/>
    <w:rsid w:val="004972EB"/>
    <w:rsid w:val="004978F5"/>
    <w:rsid w:val="004A1071"/>
    <w:rsid w:val="004A1D2C"/>
    <w:rsid w:val="004A2581"/>
    <w:rsid w:val="004A453B"/>
    <w:rsid w:val="004A46BC"/>
    <w:rsid w:val="004A56C8"/>
    <w:rsid w:val="004B15B9"/>
    <w:rsid w:val="004B4079"/>
    <w:rsid w:val="004B62AF"/>
    <w:rsid w:val="004C0D1F"/>
    <w:rsid w:val="004C2061"/>
    <w:rsid w:val="004C29F1"/>
    <w:rsid w:val="004C2A3A"/>
    <w:rsid w:val="004C5405"/>
    <w:rsid w:val="004C5B4A"/>
    <w:rsid w:val="004C6ACB"/>
    <w:rsid w:val="004C721F"/>
    <w:rsid w:val="004D0F5E"/>
    <w:rsid w:val="004D19B0"/>
    <w:rsid w:val="004D344C"/>
    <w:rsid w:val="004D4849"/>
    <w:rsid w:val="004D74FA"/>
    <w:rsid w:val="004E05BF"/>
    <w:rsid w:val="004E0C50"/>
    <w:rsid w:val="004E2850"/>
    <w:rsid w:val="004E2B49"/>
    <w:rsid w:val="004E2BE0"/>
    <w:rsid w:val="004E2CA4"/>
    <w:rsid w:val="004E399D"/>
    <w:rsid w:val="004E5D30"/>
    <w:rsid w:val="004E61B2"/>
    <w:rsid w:val="004E668A"/>
    <w:rsid w:val="004E6BC3"/>
    <w:rsid w:val="004E7DC9"/>
    <w:rsid w:val="004F0E03"/>
    <w:rsid w:val="004F1D30"/>
    <w:rsid w:val="004F2C4E"/>
    <w:rsid w:val="004F37A2"/>
    <w:rsid w:val="004F4B40"/>
    <w:rsid w:val="004F5807"/>
    <w:rsid w:val="004F71C9"/>
    <w:rsid w:val="004F7AD2"/>
    <w:rsid w:val="00501D6B"/>
    <w:rsid w:val="00501E0E"/>
    <w:rsid w:val="005033A7"/>
    <w:rsid w:val="00503D89"/>
    <w:rsid w:val="00504519"/>
    <w:rsid w:val="00504741"/>
    <w:rsid w:val="00505193"/>
    <w:rsid w:val="00507098"/>
    <w:rsid w:val="00507F6A"/>
    <w:rsid w:val="00510B8A"/>
    <w:rsid w:val="005118AA"/>
    <w:rsid w:val="00512607"/>
    <w:rsid w:val="005136B9"/>
    <w:rsid w:val="0051442A"/>
    <w:rsid w:val="00515BC3"/>
    <w:rsid w:val="005166E7"/>
    <w:rsid w:val="005168E5"/>
    <w:rsid w:val="00516A87"/>
    <w:rsid w:val="005179D2"/>
    <w:rsid w:val="00521E91"/>
    <w:rsid w:val="005222FA"/>
    <w:rsid w:val="00523D3B"/>
    <w:rsid w:val="00524D80"/>
    <w:rsid w:val="00530948"/>
    <w:rsid w:val="0053111C"/>
    <w:rsid w:val="00531EE4"/>
    <w:rsid w:val="00532F7F"/>
    <w:rsid w:val="00536D78"/>
    <w:rsid w:val="00536E52"/>
    <w:rsid w:val="00537244"/>
    <w:rsid w:val="0054121A"/>
    <w:rsid w:val="005431CD"/>
    <w:rsid w:val="0054631B"/>
    <w:rsid w:val="00547F16"/>
    <w:rsid w:val="005506D6"/>
    <w:rsid w:val="00553D80"/>
    <w:rsid w:val="00554239"/>
    <w:rsid w:val="005556BD"/>
    <w:rsid w:val="00556422"/>
    <w:rsid w:val="00556DC1"/>
    <w:rsid w:val="00563B96"/>
    <w:rsid w:val="00563C65"/>
    <w:rsid w:val="00564104"/>
    <w:rsid w:val="00573892"/>
    <w:rsid w:val="005753BC"/>
    <w:rsid w:val="00575FCE"/>
    <w:rsid w:val="00576CCB"/>
    <w:rsid w:val="00580A26"/>
    <w:rsid w:val="005833D5"/>
    <w:rsid w:val="0058392E"/>
    <w:rsid w:val="00584F1F"/>
    <w:rsid w:val="0058526B"/>
    <w:rsid w:val="00585CFB"/>
    <w:rsid w:val="00586D8D"/>
    <w:rsid w:val="00587472"/>
    <w:rsid w:val="00587F39"/>
    <w:rsid w:val="005908A5"/>
    <w:rsid w:val="005919BE"/>
    <w:rsid w:val="00596681"/>
    <w:rsid w:val="00597555"/>
    <w:rsid w:val="00597C51"/>
    <w:rsid w:val="005A1360"/>
    <w:rsid w:val="005A138E"/>
    <w:rsid w:val="005B01FF"/>
    <w:rsid w:val="005B066C"/>
    <w:rsid w:val="005B0D4A"/>
    <w:rsid w:val="005B2C89"/>
    <w:rsid w:val="005B5727"/>
    <w:rsid w:val="005B587C"/>
    <w:rsid w:val="005B6B47"/>
    <w:rsid w:val="005C1307"/>
    <w:rsid w:val="005C1E71"/>
    <w:rsid w:val="005C236B"/>
    <w:rsid w:val="005C2529"/>
    <w:rsid w:val="005C4B5C"/>
    <w:rsid w:val="005C5164"/>
    <w:rsid w:val="005C5A97"/>
    <w:rsid w:val="005C6442"/>
    <w:rsid w:val="005C679A"/>
    <w:rsid w:val="005C7C58"/>
    <w:rsid w:val="005D00FA"/>
    <w:rsid w:val="005D1038"/>
    <w:rsid w:val="005D147C"/>
    <w:rsid w:val="005D1CFD"/>
    <w:rsid w:val="005D1F4D"/>
    <w:rsid w:val="005D2648"/>
    <w:rsid w:val="005D340D"/>
    <w:rsid w:val="005D3BD2"/>
    <w:rsid w:val="005D467C"/>
    <w:rsid w:val="005D4A17"/>
    <w:rsid w:val="005D508A"/>
    <w:rsid w:val="005D573A"/>
    <w:rsid w:val="005D63E9"/>
    <w:rsid w:val="005D64CA"/>
    <w:rsid w:val="005E057F"/>
    <w:rsid w:val="005E1DA6"/>
    <w:rsid w:val="005E2197"/>
    <w:rsid w:val="005E2463"/>
    <w:rsid w:val="005E395F"/>
    <w:rsid w:val="005E50A1"/>
    <w:rsid w:val="005E763E"/>
    <w:rsid w:val="005E77CC"/>
    <w:rsid w:val="005E78BA"/>
    <w:rsid w:val="005F00A6"/>
    <w:rsid w:val="005F00D6"/>
    <w:rsid w:val="005F271E"/>
    <w:rsid w:val="005F2997"/>
    <w:rsid w:val="005F354A"/>
    <w:rsid w:val="005F40C1"/>
    <w:rsid w:val="005F44FE"/>
    <w:rsid w:val="005F49C9"/>
    <w:rsid w:val="005F5990"/>
    <w:rsid w:val="005F67F4"/>
    <w:rsid w:val="005F6F50"/>
    <w:rsid w:val="006003EC"/>
    <w:rsid w:val="00601E8F"/>
    <w:rsid w:val="0060267A"/>
    <w:rsid w:val="00602682"/>
    <w:rsid w:val="00602D0F"/>
    <w:rsid w:val="006124C6"/>
    <w:rsid w:val="00613B2D"/>
    <w:rsid w:val="00613D92"/>
    <w:rsid w:val="006142E7"/>
    <w:rsid w:val="00616CDF"/>
    <w:rsid w:val="00617476"/>
    <w:rsid w:val="00617519"/>
    <w:rsid w:val="006208EA"/>
    <w:rsid w:val="006215A5"/>
    <w:rsid w:val="006225B3"/>
    <w:rsid w:val="00624752"/>
    <w:rsid w:val="0062541A"/>
    <w:rsid w:val="006254AD"/>
    <w:rsid w:val="006262AE"/>
    <w:rsid w:val="00626F5C"/>
    <w:rsid w:val="006274B5"/>
    <w:rsid w:val="0063078A"/>
    <w:rsid w:val="006307CE"/>
    <w:rsid w:val="00633196"/>
    <w:rsid w:val="0063385B"/>
    <w:rsid w:val="00634181"/>
    <w:rsid w:val="0063433F"/>
    <w:rsid w:val="00635DCB"/>
    <w:rsid w:val="00636724"/>
    <w:rsid w:val="006416A2"/>
    <w:rsid w:val="006416FA"/>
    <w:rsid w:val="006422D4"/>
    <w:rsid w:val="00643BD8"/>
    <w:rsid w:val="00644B0A"/>
    <w:rsid w:val="00644BEB"/>
    <w:rsid w:val="00645529"/>
    <w:rsid w:val="00646923"/>
    <w:rsid w:val="0064766C"/>
    <w:rsid w:val="00650560"/>
    <w:rsid w:val="00651427"/>
    <w:rsid w:val="0065241A"/>
    <w:rsid w:val="006527A3"/>
    <w:rsid w:val="00652B57"/>
    <w:rsid w:val="00653F51"/>
    <w:rsid w:val="00654184"/>
    <w:rsid w:val="006558CB"/>
    <w:rsid w:val="00655B2B"/>
    <w:rsid w:val="00656235"/>
    <w:rsid w:val="006577D7"/>
    <w:rsid w:val="006630DA"/>
    <w:rsid w:val="006642A0"/>
    <w:rsid w:val="00665BDB"/>
    <w:rsid w:val="00666A7A"/>
    <w:rsid w:val="006675E2"/>
    <w:rsid w:val="0067139A"/>
    <w:rsid w:val="00671BFC"/>
    <w:rsid w:val="006760DB"/>
    <w:rsid w:val="00677588"/>
    <w:rsid w:val="006776A7"/>
    <w:rsid w:val="0067782D"/>
    <w:rsid w:val="006818AD"/>
    <w:rsid w:val="0068333B"/>
    <w:rsid w:val="006834E2"/>
    <w:rsid w:val="0068556D"/>
    <w:rsid w:val="0068566F"/>
    <w:rsid w:val="00685F65"/>
    <w:rsid w:val="00692602"/>
    <w:rsid w:val="00692892"/>
    <w:rsid w:val="00692D2A"/>
    <w:rsid w:val="006951B1"/>
    <w:rsid w:val="00695370"/>
    <w:rsid w:val="0069552E"/>
    <w:rsid w:val="00696B25"/>
    <w:rsid w:val="006A1FE2"/>
    <w:rsid w:val="006A2B21"/>
    <w:rsid w:val="006A2FBF"/>
    <w:rsid w:val="006A3367"/>
    <w:rsid w:val="006A3DB4"/>
    <w:rsid w:val="006A4FF6"/>
    <w:rsid w:val="006A78DD"/>
    <w:rsid w:val="006B11EF"/>
    <w:rsid w:val="006B1794"/>
    <w:rsid w:val="006B1D24"/>
    <w:rsid w:val="006B2114"/>
    <w:rsid w:val="006B271B"/>
    <w:rsid w:val="006B3C54"/>
    <w:rsid w:val="006B3F1F"/>
    <w:rsid w:val="006B499B"/>
    <w:rsid w:val="006B4FE2"/>
    <w:rsid w:val="006B5557"/>
    <w:rsid w:val="006B61E6"/>
    <w:rsid w:val="006C05D3"/>
    <w:rsid w:val="006C16B9"/>
    <w:rsid w:val="006C1A71"/>
    <w:rsid w:val="006C21CB"/>
    <w:rsid w:val="006C414C"/>
    <w:rsid w:val="006C53B1"/>
    <w:rsid w:val="006C6811"/>
    <w:rsid w:val="006D03D5"/>
    <w:rsid w:val="006D1797"/>
    <w:rsid w:val="006D36B4"/>
    <w:rsid w:val="006D3BAD"/>
    <w:rsid w:val="006D4B2C"/>
    <w:rsid w:val="006D547A"/>
    <w:rsid w:val="006E1CAF"/>
    <w:rsid w:val="006E2B3C"/>
    <w:rsid w:val="006E2C43"/>
    <w:rsid w:val="006E390D"/>
    <w:rsid w:val="006E39DE"/>
    <w:rsid w:val="006E5BDC"/>
    <w:rsid w:val="006E79E0"/>
    <w:rsid w:val="006E7FB3"/>
    <w:rsid w:val="006F0C16"/>
    <w:rsid w:val="006F1B06"/>
    <w:rsid w:val="006F52D0"/>
    <w:rsid w:val="006F7E9A"/>
    <w:rsid w:val="007026D4"/>
    <w:rsid w:val="00703F85"/>
    <w:rsid w:val="007041E1"/>
    <w:rsid w:val="00704759"/>
    <w:rsid w:val="00704A55"/>
    <w:rsid w:val="00705F5B"/>
    <w:rsid w:val="00706284"/>
    <w:rsid w:val="00707C1A"/>
    <w:rsid w:val="00710FA7"/>
    <w:rsid w:val="00714777"/>
    <w:rsid w:val="00716661"/>
    <w:rsid w:val="00716D66"/>
    <w:rsid w:val="00717A6C"/>
    <w:rsid w:val="00721F8A"/>
    <w:rsid w:val="0072263C"/>
    <w:rsid w:val="007232AC"/>
    <w:rsid w:val="007251E3"/>
    <w:rsid w:val="007261E5"/>
    <w:rsid w:val="00730562"/>
    <w:rsid w:val="00732B33"/>
    <w:rsid w:val="00733316"/>
    <w:rsid w:val="00735AD8"/>
    <w:rsid w:val="0073703B"/>
    <w:rsid w:val="00740570"/>
    <w:rsid w:val="00742509"/>
    <w:rsid w:val="00742E3B"/>
    <w:rsid w:val="007432C8"/>
    <w:rsid w:val="007433D4"/>
    <w:rsid w:val="00744605"/>
    <w:rsid w:val="00753566"/>
    <w:rsid w:val="00754049"/>
    <w:rsid w:val="007554D7"/>
    <w:rsid w:val="00755D9F"/>
    <w:rsid w:val="00756FCF"/>
    <w:rsid w:val="007571B3"/>
    <w:rsid w:val="0075768C"/>
    <w:rsid w:val="007579B3"/>
    <w:rsid w:val="00760055"/>
    <w:rsid w:val="00760B9C"/>
    <w:rsid w:val="00763217"/>
    <w:rsid w:val="0076340F"/>
    <w:rsid w:val="0076509B"/>
    <w:rsid w:val="00765F3E"/>
    <w:rsid w:val="00766F41"/>
    <w:rsid w:val="00767AD3"/>
    <w:rsid w:val="007718D6"/>
    <w:rsid w:val="0077460F"/>
    <w:rsid w:val="0077481C"/>
    <w:rsid w:val="00777E18"/>
    <w:rsid w:val="0078369D"/>
    <w:rsid w:val="0078382F"/>
    <w:rsid w:val="007857B4"/>
    <w:rsid w:val="00787E07"/>
    <w:rsid w:val="00790466"/>
    <w:rsid w:val="00790742"/>
    <w:rsid w:val="007907F2"/>
    <w:rsid w:val="007921D2"/>
    <w:rsid w:val="007936E6"/>
    <w:rsid w:val="007942D4"/>
    <w:rsid w:val="00795927"/>
    <w:rsid w:val="007A1AF6"/>
    <w:rsid w:val="007A28A6"/>
    <w:rsid w:val="007A3939"/>
    <w:rsid w:val="007A3D38"/>
    <w:rsid w:val="007A4234"/>
    <w:rsid w:val="007A5682"/>
    <w:rsid w:val="007A5788"/>
    <w:rsid w:val="007A582A"/>
    <w:rsid w:val="007B22F0"/>
    <w:rsid w:val="007B2591"/>
    <w:rsid w:val="007B2A45"/>
    <w:rsid w:val="007B4B12"/>
    <w:rsid w:val="007B4D7B"/>
    <w:rsid w:val="007B53C6"/>
    <w:rsid w:val="007B763C"/>
    <w:rsid w:val="007C0DE2"/>
    <w:rsid w:val="007C1AB0"/>
    <w:rsid w:val="007C1ABB"/>
    <w:rsid w:val="007C2742"/>
    <w:rsid w:val="007C2EE8"/>
    <w:rsid w:val="007C42BE"/>
    <w:rsid w:val="007C4F5F"/>
    <w:rsid w:val="007C52EC"/>
    <w:rsid w:val="007C6F20"/>
    <w:rsid w:val="007C7358"/>
    <w:rsid w:val="007D0628"/>
    <w:rsid w:val="007D0B81"/>
    <w:rsid w:val="007D135E"/>
    <w:rsid w:val="007D194C"/>
    <w:rsid w:val="007D30CD"/>
    <w:rsid w:val="007D56DF"/>
    <w:rsid w:val="007D66B0"/>
    <w:rsid w:val="007E0B85"/>
    <w:rsid w:val="007E3697"/>
    <w:rsid w:val="007E3870"/>
    <w:rsid w:val="007E688A"/>
    <w:rsid w:val="007E75C5"/>
    <w:rsid w:val="007E7879"/>
    <w:rsid w:val="007F0CE6"/>
    <w:rsid w:val="007F1983"/>
    <w:rsid w:val="007F19B4"/>
    <w:rsid w:val="007F1D66"/>
    <w:rsid w:val="007F262C"/>
    <w:rsid w:val="007F40A9"/>
    <w:rsid w:val="007F491C"/>
    <w:rsid w:val="007F6DD8"/>
    <w:rsid w:val="00800259"/>
    <w:rsid w:val="0080420C"/>
    <w:rsid w:val="00804356"/>
    <w:rsid w:val="008059D3"/>
    <w:rsid w:val="00806044"/>
    <w:rsid w:val="00806979"/>
    <w:rsid w:val="00807F15"/>
    <w:rsid w:val="00810739"/>
    <w:rsid w:val="00811688"/>
    <w:rsid w:val="00811885"/>
    <w:rsid w:val="00811ADA"/>
    <w:rsid w:val="00812A0E"/>
    <w:rsid w:val="008132B0"/>
    <w:rsid w:val="008159EC"/>
    <w:rsid w:val="00815DE3"/>
    <w:rsid w:val="008175BD"/>
    <w:rsid w:val="008200E3"/>
    <w:rsid w:val="008201AA"/>
    <w:rsid w:val="00820895"/>
    <w:rsid w:val="008223DA"/>
    <w:rsid w:val="00826907"/>
    <w:rsid w:val="00830C02"/>
    <w:rsid w:val="00830C27"/>
    <w:rsid w:val="008313F8"/>
    <w:rsid w:val="0083231E"/>
    <w:rsid w:val="008328A9"/>
    <w:rsid w:val="00832D6F"/>
    <w:rsid w:val="00832D81"/>
    <w:rsid w:val="00833402"/>
    <w:rsid w:val="00834165"/>
    <w:rsid w:val="00835626"/>
    <w:rsid w:val="00835C44"/>
    <w:rsid w:val="008362A2"/>
    <w:rsid w:val="00840AED"/>
    <w:rsid w:val="00841645"/>
    <w:rsid w:val="00843F6C"/>
    <w:rsid w:val="00843FA3"/>
    <w:rsid w:val="00844318"/>
    <w:rsid w:val="0084551D"/>
    <w:rsid w:val="0084655F"/>
    <w:rsid w:val="00852AD5"/>
    <w:rsid w:val="008544DA"/>
    <w:rsid w:val="00854F4A"/>
    <w:rsid w:val="00857DAC"/>
    <w:rsid w:val="00865A24"/>
    <w:rsid w:val="00865DDA"/>
    <w:rsid w:val="008663DB"/>
    <w:rsid w:val="00872261"/>
    <w:rsid w:val="008754C8"/>
    <w:rsid w:val="0087738F"/>
    <w:rsid w:val="008775B1"/>
    <w:rsid w:val="00880CA7"/>
    <w:rsid w:val="008824D3"/>
    <w:rsid w:val="0088476A"/>
    <w:rsid w:val="00884EBD"/>
    <w:rsid w:val="0088508A"/>
    <w:rsid w:val="00887172"/>
    <w:rsid w:val="00890217"/>
    <w:rsid w:val="0089028C"/>
    <w:rsid w:val="00890816"/>
    <w:rsid w:val="00890C7F"/>
    <w:rsid w:val="00890DB1"/>
    <w:rsid w:val="00892BF4"/>
    <w:rsid w:val="00893C6E"/>
    <w:rsid w:val="00894086"/>
    <w:rsid w:val="008948F9"/>
    <w:rsid w:val="008968AC"/>
    <w:rsid w:val="00896B8C"/>
    <w:rsid w:val="00897580"/>
    <w:rsid w:val="00897B5B"/>
    <w:rsid w:val="008A2425"/>
    <w:rsid w:val="008A3464"/>
    <w:rsid w:val="008A40E3"/>
    <w:rsid w:val="008A4AD5"/>
    <w:rsid w:val="008A4DD5"/>
    <w:rsid w:val="008A4EED"/>
    <w:rsid w:val="008A5A4B"/>
    <w:rsid w:val="008A66D8"/>
    <w:rsid w:val="008A6740"/>
    <w:rsid w:val="008B0AAB"/>
    <w:rsid w:val="008B2417"/>
    <w:rsid w:val="008B2785"/>
    <w:rsid w:val="008B3A31"/>
    <w:rsid w:val="008B4037"/>
    <w:rsid w:val="008B4074"/>
    <w:rsid w:val="008B4B13"/>
    <w:rsid w:val="008B721B"/>
    <w:rsid w:val="008B77A1"/>
    <w:rsid w:val="008B7C11"/>
    <w:rsid w:val="008B7D3B"/>
    <w:rsid w:val="008C0D1E"/>
    <w:rsid w:val="008C1407"/>
    <w:rsid w:val="008C1669"/>
    <w:rsid w:val="008C16A7"/>
    <w:rsid w:val="008C4247"/>
    <w:rsid w:val="008C4B09"/>
    <w:rsid w:val="008C5D3A"/>
    <w:rsid w:val="008C658E"/>
    <w:rsid w:val="008C76AD"/>
    <w:rsid w:val="008C76E7"/>
    <w:rsid w:val="008C7F1A"/>
    <w:rsid w:val="008D0DC6"/>
    <w:rsid w:val="008D18FA"/>
    <w:rsid w:val="008D1DA9"/>
    <w:rsid w:val="008D216E"/>
    <w:rsid w:val="008D3350"/>
    <w:rsid w:val="008D3845"/>
    <w:rsid w:val="008D42B5"/>
    <w:rsid w:val="008D4D28"/>
    <w:rsid w:val="008D557B"/>
    <w:rsid w:val="008D59F1"/>
    <w:rsid w:val="008D63EA"/>
    <w:rsid w:val="008D64A0"/>
    <w:rsid w:val="008E17D3"/>
    <w:rsid w:val="008E29AE"/>
    <w:rsid w:val="008E5718"/>
    <w:rsid w:val="008E5CD5"/>
    <w:rsid w:val="008E5F11"/>
    <w:rsid w:val="008E6AF4"/>
    <w:rsid w:val="008F05B1"/>
    <w:rsid w:val="008F13B0"/>
    <w:rsid w:val="008F5409"/>
    <w:rsid w:val="008F591E"/>
    <w:rsid w:val="008F7839"/>
    <w:rsid w:val="008F7869"/>
    <w:rsid w:val="00900333"/>
    <w:rsid w:val="0090277B"/>
    <w:rsid w:val="0090299B"/>
    <w:rsid w:val="00902EAC"/>
    <w:rsid w:val="00902F03"/>
    <w:rsid w:val="0090398D"/>
    <w:rsid w:val="00904183"/>
    <w:rsid w:val="009118F8"/>
    <w:rsid w:val="0091191F"/>
    <w:rsid w:val="009121DD"/>
    <w:rsid w:val="009138D9"/>
    <w:rsid w:val="009140A9"/>
    <w:rsid w:val="009150F7"/>
    <w:rsid w:val="0091547B"/>
    <w:rsid w:val="009157E1"/>
    <w:rsid w:val="00915D1A"/>
    <w:rsid w:val="00916392"/>
    <w:rsid w:val="00916667"/>
    <w:rsid w:val="00916B0A"/>
    <w:rsid w:val="00921BE0"/>
    <w:rsid w:val="0092409A"/>
    <w:rsid w:val="009242ED"/>
    <w:rsid w:val="00925478"/>
    <w:rsid w:val="00927332"/>
    <w:rsid w:val="00927863"/>
    <w:rsid w:val="00927FA6"/>
    <w:rsid w:val="009302E6"/>
    <w:rsid w:val="009329BD"/>
    <w:rsid w:val="00934CC5"/>
    <w:rsid w:val="009357B5"/>
    <w:rsid w:val="00935AE8"/>
    <w:rsid w:val="00935C6B"/>
    <w:rsid w:val="00936833"/>
    <w:rsid w:val="00936FF5"/>
    <w:rsid w:val="0094019F"/>
    <w:rsid w:val="00940329"/>
    <w:rsid w:val="00942AD7"/>
    <w:rsid w:val="0094322A"/>
    <w:rsid w:val="009436C6"/>
    <w:rsid w:val="00943B12"/>
    <w:rsid w:val="00945680"/>
    <w:rsid w:val="00947B28"/>
    <w:rsid w:val="00950608"/>
    <w:rsid w:val="00950684"/>
    <w:rsid w:val="00952C6D"/>
    <w:rsid w:val="009549C1"/>
    <w:rsid w:val="00960D98"/>
    <w:rsid w:val="009611B3"/>
    <w:rsid w:val="009633E0"/>
    <w:rsid w:val="00964F5F"/>
    <w:rsid w:val="009663B1"/>
    <w:rsid w:val="0096672A"/>
    <w:rsid w:val="00966B08"/>
    <w:rsid w:val="00970F1A"/>
    <w:rsid w:val="0097130F"/>
    <w:rsid w:val="009714B6"/>
    <w:rsid w:val="009717DA"/>
    <w:rsid w:val="009721E3"/>
    <w:rsid w:val="0097301F"/>
    <w:rsid w:val="00973EED"/>
    <w:rsid w:val="00977753"/>
    <w:rsid w:val="00977797"/>
    <w:rsid w:val="00984163"/>
    <w:rsid w:val="00984487"/>
    <w:rsid w:val="00984FFD"/>
    <w:rsid w:val="009900D9"/>
    <w:rsid w:val="009918A3"/>
    <w:rsid w:val="00991CFA"/>
    <w:rsid w:val="00991D4D"/>
    <w:rsid w:val="00992EB6"/>
    <w:rsid w:val="00996286"/>
    <w:rsid w:val="00996516"/>
    <w:rsid w:val="009972D9"/>
    <w:rsid w:val="009A0456"/>
    <w:rsid w:val="009A079E"/>
    <w:rsid w:val="009A1541"/>
    <w:rsid w:val="009A21FC"/>
    <w:rsid w:val="009A4CA5"/>
    <w:rsid w:val="009A4D64"/>
    <w:rsid w:val="009A66B9"/>
    <w:rsid w:val="009A7098"/>
    <w:rsid w:val="009B13EC"/>
    <w:rsid w:val="009B1B62"/>
    <w:rsid w:val="009B251D"/>
    <w:rsid w:val="009B2958"/>
    <w:rsid w:val="009B37D8"/>
    <w:rsid w:val="009B3951"/>
    <w:rsid w:val="009B4598"/>
    <w:rsid w:val="009B57C7"/>
    <w:rsid w:val="009C16A5"/>
    <w:rsid w:val="009C2707"/>
    <w:rsid w:val="009C2AD1"/>
    <w:rsid w:val="009C2B8A"/>
    <w:rsid w:val="009C31A2"/>
    <w:rsid w:val="009C35BB"/>
    <w:rsid w:val="009C3FA1"/>
    <w:rsid w:val="009C422A"/>
    <w:rsid w:val="009C6577"/>
    <w:rsid w:val="009C7946"/>
    <w:rsid w:val="009D036F"/>
    <w:rsid w:val="009D1113"/>
    <w:rsid w:val="009D2D19"/>
    <w:rsid w:val="009D5196"/>
    <w:rsid w:val="009D5CB4"/>
    <w:rsid w:val="009D5FA2"/>
    <w:rsid w:val="009D624B"/>
    <w:rsid w:val="009D6786"/>
    <w:rsid w:val="009E24B3"/>
    <w:rsid w:val="009E3368"/>
    <w:rsid w:val="009E44AA"/>
    <w:rsid w:val="009E4B29"/>
    <w:rsid w:val="009E5275"/>
    <w:rsid w:val="009E6BA7"/>
    <w:rsid w:val="009E6C48"/>
    <w:rsid w:val="009F08BB"/>
    <w:rsid w:val="009F0B37"/>
    <w:rsid w:val="009F10D8"/>
    <w:rsid w:val="009F12FC"/>
    <w:rsid w:val="009F2C01"/>
    <w:rsid w:val="009F3337"/>
    <w:rsid w:val="009F3E57"/>
    <w:rsid w:val="009F4972"/>
    <w:rsid w:val="009F57CD"/>
    <w:rsid w:val="009F5935"/>
    <w:rsid w:val="009F5D54"/>
    <w:rsid w:val="009F697D"/>
    <w:rsid w:val="00A02411"/>
    <w:rsid w:val="00A057F3"/>
    <w:rsid w:val="00A06549"/>
    <w:rsid w:val="00A06E45"/>
    <w:rsid w:val="00A1041E"/>
    <w:rsid w:val="00A10C12"/>
    <w:rsid w:val="00A1195F"/>
    <w:rsid w:val="00A11993"/>
    <w:rsid w:val="00A120A3"/>
    <w:rsid w:val="00A12F78"/>
    <w:rsid w:val="00A13664"/>
    <w:rsid w:val="00A1373D"/>
    <w:rsid w:val="00A13CB5"/>
    <w:rsid w:val="00A15FD5"/>
    <w:rsid w:val="00A17953"/>
    <w:rsid w:val="00A20BA8"/>
    <w:rsid w:val="00A2196A"/>
    <w:rsid w:val="00A21DBB"/>
    <w:rsid w:val="00A21E15"/>
    <w:rsid w:val="00A2290A"/>
    <w:rsid w:val="00A22ABC"/>
    <w:rsid w:val="00A2748B"/>
    <w:rsid w:val="00A342E9"/>
    <w:rsid w:val="00A3456C"/>
    <w:rsid w:val="00A34624"/>
    <w:rsid w:val="00A36011"/>
    <w:rsid w:val="00A3620D"/>
    <w:rsid w:val="00A370B4"/>
    <w:rsid w:val="00A37842"/>
    <w:rsid w:val="00A37850"/>
    <w:rsid w:val="00A40599"/>
    <w:rsid w:val="00A4182A"/>
    <w:rsid w:val="00A41B75"/>
    <w:rsid w:val="00A41F72"/>
    <w:rsid w:val="00A453ED"/>
    <w:rsid w:val="00A51544"/>
    <w:rsid w:val="00A516EF"/>
    <w:rsid w:val="00A53495"/>
    <w:rsid w:val="00A57B2D"/>
    <w:rsid w:val="00A611BB"/>
    <w:rsid w:val="00A62DF4"/>
    <w:rsid w:val="00A6308F"/>
    <w:rsid w:val="00A6484E"/>
    <w:rsid w:val="00A64864"/>
    <w:rsid w:val="00A65F70"/>
    <w:rsid w:val="00A709A2"/>
    <w:rsid w:val="00A7100F"/>
    <w:rsid w:val="00A7295F"/>
    <w:rsid w:val="00A72C0C"/>
    <w:rsid w:val="00A73951"/>
    <w:rsid w:val="00A760E2"/>
    <w:rsid w:val="00A764BF"/>
    <w:rsid w:val="00A837E8"/>
    <w:rsid w:val="00A84433"/>
    <w:rsid w:val="00A8460A"/>
    <w:rsid w:val="00A84D99"/>
    <w:rsid w:val="00A85726"/>
    <w:rsid w:val="00A8701B"/>
    <w:rsid w:val="00A87F7E"/>
    <w:rsid w:val="00A902E3"/>
    <w:rsid w:val="00A9061A"/>
    <w:rsid w:val="00A909AF"/>
    <w:rsid w:val="00A919D5"/>
    <w:rsid w:val="00A97D17"/>
    <w:rsid w:val="00AA2A8C"/>
    <w:rsid w:val="00AA33C5"/>
    <w:rsid w:val="00AA3AA3"/>
    <w:rsid w:val="00AA3ACA"/>
    <w:rsid w:val="00AA3C36"/>
    <w:rsid w:val="00AA4A15"/>
    <w:rsid w:val="00AA6C6D"/>
    <w:rsid w:val="00AA77B1"/>
    <w:rsid w:val="00AB2D38"/>
    <w:rsid w:val="00AB3572"/>
    <w:rsid w:val="00AB35D2"/>
    <w:rsid w:val="00AB59A3"/>
    <w:rsid w:val="00AB62EE"/>
    <w:rsid w:val="00AB751D"/>
    <w:rsid w:val="00AB7633"/>
    <w:rsid w:val="00AB76B7"/>
    <w:rsid w:val="00AB7C40"/>
    <w:rsid w:val="00AC0101"/>
    <w:rsid w:val="00AC578A"/>
    <w:rsid w:val="00AC6D54"/>
    <w:rsid w:val="00AD30E3"/>
    <w:rsid w:val="00AD5A59"/>
    <w:rsid w:val="00AD5CD7"/>
    <w:rsid w:val="00AD5F5B"/>
    <w:rsid w:val="00AD7033"/>
    <w:rsid w:val="00AD7084"/>
    <w:rsid w:val="00AE2611"/>
    <w:rsid w:val="00AE272F"/>
    <w:rsid w:val="00AE3063"/>
    <w:rsid w:val="00AE3A50"/>
    <w:rsid w:val="00AE3AB8"/>
    <w:rsid w:val="00AE3BF9"/>
    <w:rsid w:val="00AE6070"/>
    <w:rsid w:val="00AE70AF"/>
    <w:rsid w:val="00AF02D9"/>
    <w:rsid w:val="00AF1608"/>
    <w:rsid w:val="00AF250A"/>
    <w:rsid w:val="00AF2C69"/>
    <w:rsid w:val="00AF35EC"/>
    <w:rsid w:val="00AF3F72"/>
    <w:rsid w:val="00AF51BE"/>
    <w:rsid w:val="00AF6C9E"/>
    <w:rsid w:val="00B006E9"/>
    <w:rsid w:val="00B0271E"/>
    <w:rsid w:val="00B0433B"/>
    <w:rsid w:val="00B05A9B"/>
    <w:rsid w:val="00B05F94"/>
    <w:rsid w:val="00B064DE"/>
    <w:rsid w:val="00B06848"/>
    <w:rsid w:val="00B069C6"/>
    <w:rsid w:val="00B06C65"/>
    <w:rsid w:val="00B07FA5"/>
    <w:rsid w:val="00B11A6E"/>
    <w:rsid w:val="00B13F24"/>
    <w:rsid w:val="00B146C1"/>
    <w:rsid w:val="00B14D26"/>
    <w:rsid w:val="00B169AC"/>
    <w:rsid w:val="00B16FA9"/>
    <w:rsid w:val="00B20C7C"/>
    <w:rsid w:val="00B2247D"/>
    <w:rsid w:val="00B23D46"/>
    <w:rsid w:val="00B24627"/>
    <w:rsid w:val="00B24645"/>
    <w:rsid w:val="00B26248"/>
    <w:rsid w:val="00B2778E"/>
    <w:rsid w:val="00B307F7"/>
    <w:rsid w:val="00B3148A"/>
    <w:rsid w:val="00B31EC9"/>
    <w:rsid w:val="00B32AEE"/>
    <w:rsid w:val="00B33FBA"/>
    <w:rsid w:val="00B3530F"/>
    <w:rsid w:val="00B365E0"/>
    <w:rsid w:val="00B37B66"/>
    <w:rsid w:val="00B403D4"/>
    <w:rsid w:val="00B40F7E"/>
    <w:rsid w:val="00B40F86"/>
    <w:rsid w:val="00B4475F"/>
    <w:rsid w:val="00B4619F"/>
    <w:rsid w:val="00B46A3D"/>
    <w:rsid w:val="00B5154C"/>
    <w:rsid w:val="00B52638"/>
    <w:rsid w:val="00B53F98"/>
    <w:rsid w:val="00B556BC"/>
    <w:rsid w:val="00B560F7"/>
    <w:rsid w:val="00B57051"/>
    <w:rsid w:val="00B57D55"/>
    <w:rsid w:val="00B61040"/>
    <w:rsid w:val="00B6247C"/>
    <w:rsid w:val="00B637F4"/>
    <w:rsid w:val="00B6517C"/>
    <w:rsid w:val="00B65AA2"/>
    <w:rsid w:val="00B6657B"/>
    <w:rsid w:val="00B66B1C"/>
    <w:rsid w:val="00B66D88"/>
    <w:rsid w:val="00B67FCC"/>
    <w:rsid w:val="00B7081F"/>
    <w:rsid w:val="00B70D0B"/>
    <w:rsid w:val="00B73B40"/>
    <w:rsid w:val="00B74C63"/>
    <w:rsid w:val="00B75CEB"/>
    <w:rsid w:val="00B77AB8"/>
    <w:rsid w:val="00B809B5"/>
    <w:rsid w:val="00B838DB"/>
    <w:rsid w:val="00B83E71"/>
    <w:rsid w:val="00B866B8"/>
    <w:rsid w:val="00B90FC5"/>
    <w:rsid w:val="00B925F5"/>
    <w:rsid w:val="00B9382B"/>
    <w:rsid w:val="00B97CD1"/>
    <w:rsid w:val="00BA2D60"/>
    <w:rsid w:val="00BA3D7C"/>
    <w:rsid w:val="00BA4E1F"/>
    <w:rsid w:val="00BA593C"/>
    <w:rsid w:val="00BA6108"/>
    <w:rsid w:val="00BB18F3"/>
    <w:rsid w:val="00BB281F"/>
    <w:rsid w:val="00BB3A66"/>
    <w:rsid w:val="00BB518D"/>
    <w:rsid w:val="00BB67A4"/>
    <w:rsid w:val="00BB6926"/>
    <w:rsid w:val="00BC07BF"/>
    <w:rsid w:val="00BC21D9"/>
    <w:rsid w:val="00BC2636"/>
    <w:rsid w:val="00BC3D1C"/>
    <w:rsid w:val="00BC6088"/>
    <w:rsid w:val="00BC6105"/>
    <w:rsid w:val="00BD0F31"/>
    <w:rsid w:val="00BD2192"/>
    <w:rsid w:val="00BD397B"/>
    <w:rsid w:val="00BD3B0A"/>
    <w:rsid w:val="00BD5784"/>
    <w:rsid w:val="00BD6111"/>
    <w:rsid w:val="00BE02F2"/>
    <w:rsid w:val="00BE2075"/>
    <w:rsid w:val="00BE21CD"/>
    <w:rsid w:val="00BE2D6B"/>
    <w:rsid w:val="00BE30B5"/>
    <w:rsid w:val="00BE4A71"/>
    <w:rsid w:val="00BE612E"/>
    <w:rsid w:val="00BE728A"/>
    <w:rsid w:val="00BF0A37"/>
    <w:rsid w:val="00BF0EC2"/>
    <w:rsid w:val="00BF2703"/>
    <w:rsid w:val="00BF33B1"/>
    <w:rsid w:val="00BF414B"/>
    <w:rsid w:val="00BF4D81"/>
    <w:rsid w:val="00C006B1"/>
    <w:rsid w:val="00C0181C"/>
    <w:rsid w:val="00C02CEE"/>
    <w:rsid w:val="00C0320F"/>
    <w:rsid w:val="00C04A32"/>
    <w:rsid w:val="00C0515B"/>
    <w:rsid w:val="00C05669"/>
    <w:rsid w:val="00C0731E"/>
    <w:rsid w:val="00C07675"/>
    <w:rsid w:val="00C10769"/>
    <w:rsid w:val="00C10ABE"/>
    <w:rsid w:val="00C11103"/>
    <w:rsid w:val="00C11B65"/>
    <w:rsid w:val="00C16D03"/>
    <w:rsid w:val="00C21D08"/>
    <w:rsid w:val="00C26FA8"/>
    <w:rsid w:val="00C27B6A"/>
    <w:rsid w:val="00C318BF"/>
    <w:rsid w:val="00C33906"/>
    <w:rsid w:val="00C33EF3"/>
    <w:rsid w:val="00C347E5"/>
    <w:rsid w:val="00C35DA3"/>
    <w:rsid w:val="00C41DA1"/>
    <w:rsid w:val="00C421E5"/>
    <w:rsid w:val="00C42BE8"/>
    <w:rsid w:val="00C45AAE"/>
    <w:rsid w:val="00C47003"/>
    <w:rsid w:val="00C5095D"/>
    <w:rsid w:val="00C52245"/>
    <w:rsid w:val="00C52F1E"/>
    <w:rsid w:val="00C53EB6"/>
    <w:rsid w:val="00C55A44"/>
    <w:rsid w:val="00C57144"/>
    <w:rsid w:val="00C5717C"/>
    <w:rsid w:val="00C57AAF"/>
    <w:rsid w:val="00C624CE"/>
    <w:rsid w:val="00C629D3"/>
    <w:rsid w:val="00C62CC3"/>
    <w:rsid w:val="00C63714"/>
    <w:rsid w:val="00C648CC"/>
    <w:rsid w:val="00C65D5B"/>
    <w:rsid w:val="00C66842"/>
    <w:rsid w:val="00C66CEE"/>
    <w:rsid w:val="00C67886"/>
    <w:rsid w:val="00C70C77"/>
    <w:rsid w:val="00C70CE7"/>
    <w:rsid w:val="00C715D6"/>
    <w:rsid w:val="00C71F40"/>
    <w:rsid w:val="00C71F61"/>
    <w:rsid w:val="00C7258F"/>
    <w:rsid w:val="00C772A7"/>
    <w:rsid w:val="00C77E3A"/>
    <w:rsid w:val="00C80D93"/>
    <w:rsid w:val="00C84C0A"/>
    <w:rsid w:val="00C850F7"/>
    <w:rsid w:val="00C852E6"/>
    <w:rsid w:val="00C856E8"/>
    <w:rsid w:val="00C86D67"/>
    <w:rsid w:val="00C90517"/>
    <w:rsid w:val="00C92D49"/>
    <w:rsid w:val="00C93346"/>
    <w:rsid w:val="00C94A42"/>
    <w:rsid w:val="00C952F6"/>
    <w:rsid w:val="00C952FA"/>
    <w:rsid w:val="00C954AB"/>
    <w:rsid w:val="00CA1FF4"/>
    <w:rsid w:val="00CA2845"/>
    <w:rsid w:val="00CA4137"/>
    <w:rsid w:val="00CA72FB"/>
    <w:rsid w:val="00CA7EF3"/>
    <w:rsid w:val="00CB0274"/>
    <w:rsid w:val="00CB0E25"/>
    <w:rsid w:val="00CB1ECF"/>
    <w:rsid w:val="00CB2A9E"/>
    <w:rsid w:val="00CB4368"/>
    <w:rsid w:val="00CB45C1"/>
    <w:rsid w:val="00CC0A2E"/>
    <w:rsid w:val="00CC1A30"/>
    <w:rsid w:val="00CC3F16"/>
    <w:rsid w:val="00CD1C44"/>
    <w:rsid w:val="00CD4055"/>
    <w:rsid w:val="00CD4161"/>
    <w:rsid w:val="00CD41D1"/>
    <w:rsid w:val="00CD4F96"/>
    <w:rsid w:val="00CD512E"/>
    <w:rsid w:val="00CD7303"/>
    <w:rsid w:val="00CD74E9"/>
    <w:rsid w:val="00CE0433"/>
    <w:rsid w:val="00CE4B21"/>
    <w:rsid w:val="00CE5936"/>
    <w:rsid w:val="00CE5D5E"/>
    <w:rsid w:val="00CF2CF0"/>
    <w:rsid w:val="00CF2D1E"/>
    <w:rsid w:val="00CF30DB"/>
    <w:rsid w:val="00CF475B"/>
    <w:rsid w:val="00CF6748"/>
    <w:rsid w:val="00CF7C0E"/>
    <w:rsid w:val="00D01DC5"/>
    <w:rsid w:val="00D02634"/>
    <w:rsid w:val="00D02ECF"/>
    <w:rsid w:val="00D03B5A"/>
    <w:rsid w:val="00D04264"/>
    <w:rsid w:val="00D048C1"/>
    <w:rsid w:val="00D0616A"/>
    <w:rsid w:val="00D07B4D"/>
    <w:rsid w:val="00D102E3"/>
    <w:rsid w:val="00D1107C"/>
    <w:rsid w:val="00D1201D"/>
    <w:rsid w:val="00D130F7"/>
    <w:rsid w:val="00D1377F"/>
    <w:rsid w:val="00D137DD"/>
    <w:rsid w:val="00D13B84"/>
    <w:rsid w:val="00D140A4"/>
    <w:rsid w:val="00D15825"/>
    <w:rsid w:val="00D1730E"/>
    <w:rsid w:val="00D17378"/>
    <w:rsid w:val="00D17FFA"/>
    <w:rsid w:val="00D214BE"/>
    <w:rsid w:val="00D222E6"/>
    <w:rsid w:val="00D23AF3"/>
    <w:rsid w:val="00D23D16"/>
    <w:rsid w:val="00D24E85"/>
    <w:rsid w:val="00D256DC"/>
    <w:rsid w:val="00D27D35"/>
    <w:rsid w:val="00D30B4B"/>
    <w:rsid w:val="00D3105C"/>
    <w:rsid w:val="00D33A3A"/>
    <w:rsid w:val="00D33A46"/>
    <w:rsid w:val="00D34130"/>
    <w:rsid w:val="00D34DBD"/>
    <w:rsid w:val="00D37904"/>
    <w:rsid w:val="00D40BB0"/>
    <w:rsid w:val="00D40F52"/>
    <w:rsid w:val="00D42B4D"/>
    <w:rsid w:val="00D4333B"/>
    <w:rsid w:val="00D475CE"/>
    <w:rsid w:val="00D51CCA"/>
    <w:rsid w:val="00D53406"/>
    <w:rsid w:val="00D53735"/>
    <w:rsid w:val="00D53891"/>
    <w:rsid w:val="00D550A9"/>
    <w:rsid w:val="00D57552"/>
    <w:rsid w:val="00D57DD1"/>
    <w:rsid w:val="00D60D84"/>
    <w:rsid w:val="00D631C2"/>
    <w:rsid w:val="00D66319"/>
    <w:rsid w:val="00D666D0"/>
    <w:rsid w:val="00D6675E"/>
    <w:rsid w:val="00D67B3B"/>
    <w:rsid w:val="00D71150"/>
    <w:rsid w:val="00D7211F"/>
    <w:rsid w:val="00D73F01"/>
    <w:rsid w:val="00D802AD"/>
    <w:rsid w:val="00D815E5"/>
    <w:rsid w:val="00D82870"/>
    <w:rsid w:val="00D8354D"/>
    <w:rsid w:val="00D83F6C"/>
    <w:rsid w:val="00D84510"/>
    <w:rsid w:val="00D8647C"/>
    <w:rsid w:val="00D868E4"/>
    <w:rsid w:val="00D87684"/>
    <w:rsid w:val="00D90079"/>
    <w:rsid w:val="00D921BA"/>
    <w:rsid w:val="00D9323F"/>
    <w:rsid w:val="00D93A9E"/>
    <w:rsid w:val="00D97301"/>
    <w:rsid w:val="00D979E8"/>
    <w:rsid w:val="00D97E52"/>
    <w:rsid w:val="00DA0AE3"/>
    <w:rsid w:val="00DA1099"/>
    <w:rsid w:val="00DA3271"/>
    <w:rsid w:val="00DA34D6"/>
    <w:rsid w:val="00DA717A"/>
    <w:rsid w:val="00DB0D41"/>
    <w:rsid w:val="00DB187B"/>
    <w:rsid w:val="00DB23AF"/>
    <w:rsid w:val="00DB2408"/>
    <w:rsid w:val="00DB3E1E"/>
    <w:rsid w:val="00DB3FC4"/>
    <w:rsid w:val="00DB4847"/>
    <w:rsid w:val="00DB4F7E"/>
    <w:rsid w:val="00DC002C"/>
    <w:rsid w:val="00DC04E6"/>
    <w:rsid w:val="00DC0804"/>
    <w:rsid w:val="00DC18B5"/>
    <w:rsid w:val="00DC2112"/>
    <w:rsid w:val="00DC2627"/>
    <w:rsid w:val="00DC4462"/>
    <w:rsid w:val="00DC4FF8"/>
    <w:rsid w:val="00DC5273"/>
    <w:rsid w:val="00DC62C8"/>
    <w:rsid w:val="00DC7112"/>
    <w:rsid w:val="00DC7C62"/>
    <w:rsid w:val="00DC7D06"/>
    <w:rsid w:val="00DD03D8"/>
    <w:rsid w:val="00DD12C9"/>
    <w:rsid w:val="00DD140A"/>
    <w:rsid w:val="00DD2A15"/>
    <w:rsid w:val="00DD3B8B"/>
    <w:rsid w:val="00DD3D1D"/>
    <w:rsid w:val="00DD4C6D"/>
    <w:rsid w:val="00DE17D9"/>
    <w:rsid w:val="00DE473D"/>
    <w:rsid w:val="00DE6201"/>
    <w:rsid w:val="00DE6ECE"/>
    <w:rsid w:val="00DE7787"/>
    <w:rsid w:val="00DF0882"/>
    <w:rsid w:val="00DF10FF"/>
    <w:rsid w:val="00DF2674"/>
    <w:rsid w:val="00DF2807"/>
    <w:rsid w:val="00DF35DE"/>
    <w:rsid w:val="00DF443F"/>
    <w:rsid w:val="00DF45B5"/>
    <w:rsid w:val="00DF5815"/>
    <w:rsid w:val="00DF65C2"/>
    <w:rsid w:val="00DF792D"/>
    <w:rsid w:val="00DF7A7D"/>
    <w:rsid w:val="00E00688"/>
    <w:rsid w:val="00E01EC7"/>
    <w:rsid w:val="00E04DF4"/>
    <w:rsid w:val="00E0570F"/>
    <w:rsid w:val="00E0577E"/>
    <w:rsid w:val="00E05C66"/>
    <w:rsid w:val="00E06CC0"/>
    <w:rsid w:val="00E073AA"/>
    <w:rsid w:val="00E10709"/>
    <w:rsid w:val="00E1111F"/>
    <w:rsid w:val="00E12214"/>
    <w:rsid w:val="00E13A72"/>
    <w:rsid w:val="00E14A71"/>
    <w:rsid w:val="00E1670D"/>
    <w:rsid w:val="00E168F0"/>
    <w:rsid w:val="00E16E73"/>
    <w:rsid w:val="00E16F0B"/>
    <w:rsid w:val="00E20186"/>
    <w:rsid w:val="00E2046C"/>
    <w:rsid w:val="00E241F0"/>
    <w:rsid w:val="00E24E5D"/>
    <w:rsid w:val="00E25763"/>
    <w:rsid w:val="00E25834"/>
    <w:rsid w:val="00E2648A"/>
    <w:rsid w:val="00E26F1C"/>
    <w:rsid w:val="00E31EC2"/>
    <w:rsid w:val="00E31F44"/>
    <w:rsid w:val="00E34A83"/>
    <w:rsid w:val="00E3589D"/>
    <w:rsid w:val="00E42D85"/>
    <w:rsid w:val="00E42EA5"/>
    <w:rsid w:val="00E4305F"/>
    <w:rsid w:val="00E444BB"/>
    <w:rsid w:val="00E44DA6"/>
    <w:rsid w:val="00E45976"/>
    <w:rsid w:val="00E50855"/>
    <w:rsid w:val="00E51479"/>
    <w:rsid w:val="00E535D4"/>
    <w:rsid w:val="00E53ED7"/>
    <w:rsid w:val="00E543BD"/>
    <w:rsid w:val="00E551E2"/>
    <w:rsid w:val="00E551E4"/>
    <w:rsid w:val="00E5522F"/>
    <w:rsid w:val="00E55DFB"/>
    <w:rsid w:val="00E600BB"/>
    <w:rsid w:val="00E60FDA"/>
    <w:rsid w:val="00E610A4"/>
    <w:rsid w:val="00E615C7"/>
    <w:rsid w:val="00E6271F"/>
    <w:rsid w:val="00E62AE9"/>
    <w:rsid w:val="00E6355B"/>
    <w:rsid w:val="00E6370D"/>
    <w:rsid w:val="00E63F16"/>
    <w:rsid w:val="00E64CC7"/>
    <w:rsid w:val="00E65472"/>
    <w:rsid w:val="00E6560D"/>
    <w:rsid w:val="00E65769"/>
    <w:rsid w:val="00E725EB"/>
    <w:rsid w:val="00E72A3C"/>
    <w:rsid w:val="00E7315C"/>
    <w:rsid w:val="00E73276"/>
    <w:rsid w:val="00E73B11"/>
    <w:rsid w:val="00E73FA7"/>
    <w:rsid w:val="00E7632E"/>
    <w:rsid w:val="00E76C83"/>
    <w:rsid w:val="00E80105"/>
    <w:rsid w:val="00E80E4E"/>
    <w:rsid w:val="00E8128E"/>
    <w:rsid w:val="00E83632"/>
    <w:rsid w:val="00E83C30"/>
    <w:rsid w:val="00E83C35"/>
    <w:rsid w:val="00E850F9"/>
    <w:rsid w:val="00E85DB6"/>
    <w:rsid w:val="00E8759D"/>
    <w:rsid w:val="00E87778"/>
    <w:rsid w:val="00E87D09"/>
    <w:rsid w:val="00E92187"/>
    <w:rsid w:val="00E92B7B"/>
    <w:rsid w:val="00E944A7"/>
    <w:rsid w:val="00E94D80"/>
    <w:rsid w:val="00EA016E"/>
    <w:rsid w:val="00EA4FB0"/>
    <w:rsid w:val="00EA52B8"/>
    <w:rsid w:val="00EA5CE2"/>
    <w:rsid w:val="00EA6699"/>
    <w:rsid w:val="00EA7848"/>
    <w:rsid w:val="00EB1F92"/>
    <w:rsid w:val="00EB29CB"/>
    <w:rsid w:val="00EB2DCD"/>
    <w:rsid w:val="00EB4F93"/>
    <w:rsid w:val="00EB505E"/>
    <w:rsid w:val="00EB6020"/>
    <w:rsid w:val="00EB60CB"/>
    <w:rsid w:val="00EB77DD"/>
    <w:rsid w:val="00EB7B33"/>
    <w:rsid w:val="00EC3933"/>
    <w:rsid w:val="00EC418F"/>
    <w:rsid w:val="00EC5593"/>
    <w:rsid w:val="00EC65C2"/>
    <w:rsid w:val="00EC6683"/>
    <w:rsid w:val="00EC6EF0"/>
    <w:rsid w:val="00EC7F90"/>
    <w:rsid w:val="00ED174A"/>
    <w:rsid w:val="00ED1ADE"/>
    <w:rsid w:val="00ED1BDD"/>
    <w:rsid w:val="00ED21DD"/>
    <w:rsid w:val="00ED458D"/>
    <w:rsid w:val="00ED48E2"/>
    <w:rsid w:val="00ED65FD"/>
    <w:rsid w:val="00ED6C25"/>
    <w:rsid w:val="00EE0E17"/>
    <w:rsid w:val="00EE1420"/>
    <w:rsid w:val="00EE17F6"/>
    <w:rsid w:val="00EE3CD0"/>
    <w:rsid w:val="00EE3FD6"/>
    <w:rsid w:val="00EE62DE"/>
    <w:rsid w:val="00EE79E8"/>
    <w:rsid w:val="00EF0770"/>
    <w:rsid w:val="00EF266D"/>
    <w:rsid w:val="00EF4B4E"/>
    <w:rsid w:val="00EF657E"/>
    <w:rsid w:val="00EF7459"/>
    <w:rsid w:val="00EF7AE0"/>
    <w:rsid w:val="00F01D0E"/>
    <w:rsid w:val="00F03AE9"/>
    <w:rsid w:val="00F0705F"/>
    <w:rsid w:val="00F1035A"/>
    <w:rsid w:val="00F1067A"/>
    <w:rsid w:val="00F10840"/>
    <w:rsid w:val="00F11640"/>
    <w:rsid w:val="00F134AD"/>
    <w:rsid w:val="00F13652"/>
    <w:rsid w:val="00F14577"/>
    <w:rsid w:val="00F15EE0"/>
    <w:rsid w:val="00F161F7"/>
    <w:rsid w:val="00F16985"/>
    <w:rsid w:val="00F16B7C"/>
    <w:rsid w:val="00F16D63"/>
    <w:rsid w:val="00F16EED"/>
    <w:rsid w:val="00F17801"/>
    <w:rsid w:val="00F17C80"/>
    <w:rsid w:val="00F20195"/>
    <w:rsid w:val="00F204B1"/>
    <w:rsid w:val="00F207B7"/>
    <w:rsid w:val="00F20CA8"/>
    <w:rsid w:val="00F20E4A"/>
    <w:rsid w:val="00F22893"/>
    <w:rsid w:val="00F22DDE"/>
    <w:rsid w:val="00F23050"/>
    <w:rsid w:val="00F2498E"/>
    <w:rsid w:val="00F2564A"/>
    <w:rsid w:val="00F25F1F"/>
    <w:rsid w:val="00F266B3"/>
    <w:rsid w:val="00F26959"/>
    <w:rsid w:val="00F30CFD"/>
    <w:rsid w:val="00F30F05"/>
    <w:rsid w:val="00F31AC7"/>
    <w:rsid w:val="00F32378"/>
    <w:rsid w:val="00F32CC9"/>
    <w:rsid w:val="00F33E44"/>
    <w:rsid w:val="00F34025"/>
    <w:rsid w:val="00F350B5"/>
    <w:rsid w:val="00F36EA2"/>
    <w:rsid w:val="00F37E09"/>
    <w:rsid w:val="00F41717"/>
    <w:rsid w:val="00F45DC6"/>
    <w:rsid w:val="00F45F14"/>
    <w:rsid w:val="00F462F4"/>
    <w:rsid w:val="00F470BB"/>
    <w:rsid w:val="00F53E71"/>
    <w:rsid w:val="00F546AC"/>
    <w:rsid w:val="00F6079B"/>
    <w:rsid w:val="00F62140"/>
    <w:rsid w:val="00F63313"/>
    <w:rsid w:val="00F64F9C"/>
    <w:rsid w:val="00F67157"/>
    <w:rsid w:val="00F671BE"/>
    <w:rsid w:val="00F67263"/>
    <w:rsid w:val="00F6795D"/>
    <w:rsid w:val="00F72681"/>
    <w:rsid w:val="00F75A77"/>
    <w:rsid w:val="00F76403"/>
    <w:rsid w:val="00F771A3"/>
    <w:rsid w:val="00F771F5"/>
    <w:rsid w:val="00F775E5"/>
    <w:rsid w:val="00F77DF8"/>
    <w:rsid w:val="00F82046"/>
    <w:rsid w:val="00F85595"/>
    <w:rsid w:val="00F90011"/>
    <w:rsid w:val="00F90E95"/>
    <w:rsid w:val="00F9494E"/>
    <w:rsid w:val="00FA192F"/>
    <w:rsid w:val="00FA3111"/>
    <w:rsid w:val="00FA3458"/>
    <w:rsid w:val="00FA36CF"/>
    <w:rsid w:val="00FA37C4"/>
    <w:rsid w:val="00FA3986"/>
    <w:rsid w:val="00FA60AA"/>
    <w:rsid w:val="00FA7779"/>
    <w:rsid w:val="00FB1F94"/>
    <w:rsid w:val="00FB3931"/>
    <w:rsid w:val="00FB4910"/>
    <w:rsid w:val="00FB541B"/>
    <w:rsid w:val="00FB67C7"/>
    <w:rsid w:val="00FB7C12"/>
    <w:rsid w:val="00FC02B0"/>
    <w:rsid w:val="00FC0538"/>
    <w:rsid w:val="00FC061E"/>
    <w:rsid w:val="00FC3041"/>
    <w:rsid w:val="00FC4A9F"/>
    <w:rsid w:val="00FC5002"/>
    <w:rsid w:val="00FC5B6C"/>
    <w:rsid w:val="00FC65C7"/>
    <w:rsid w:val="00FC72EA"/>
    <w:rsid w:val="00FD10C8"/>
    <w:rsid w:val="00FD1110"/>
    <w:rsid w:val="00FD212F"/>
    <w:rsid w:val="00FD53AD"/>
    <w:rsid w:val="00FD5B2F"/>
    <w:rsid w:val="00FD6E14"/>
    <w:rsid w:val="00FD771E"/>
    <w:rsid w:val="00FD7B8F"/>
    <w:rsid w:val="00FE005C"/>
    <w:rsid w:val="00FE009C"/>
    <w:rsid w:val="00FE05C8"/>
    <w:rsid w:val="00FE176E"/>
    <w:rsid w:val="00FE194A"/>
    <w:rsid w:val="00FE2F6D"/>
    <w:rsid w:val="00FE3A2B"/>
    <w:rsid w:val="00FE5975"/>
    <w:rsid w:val="00FF01D5"/>
    <w:rsid w:val="00FF197D"/>
    <w:rsid w:val="00FF2718"/>
    <w:rsid w:val="00FF3F39"/>
    <w:rsid w:val="00FF46B8"/>
    <w:rsid w:val="00FF5261"/>
    <w:rsid w:val="00FF5793"/>
    <w:rsid w:val="00FF5C0E"/>
    <w:rsid w:val="00FF7AE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F8A1EA"/>
  <w15:chartTrackingRefBased/>
  <w15:docId w15:val="{32337A17-8C1E-49F2-8F6C-F6AB6ECF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1" w:qFormat="1"/>
    <w:lsdException w:name="Emphasis" w:semiHidden="1" w:uiPriority="3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1" w:qFormat="1"/>
    <w:lsdException w:name="Intense Quote" w:semiHidden="1" w:uiPriority="3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1" w:qFormat="1"/>
    <w:lsdException w:name="Intense Emphasis" w:semiHidden="1" w:uiPriority="3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0"/>
    <w:semiHidden/>
    <w:qFormat/>
    <w:rsid w:val="002A55B9"/>
    <w:pPr>
      <w:spacing w:before="120" w:after="120" w:line="264" w:lineRule="auto"/>
    </w:pPr>
    <w:rPr>
      <w:rFonts w:ascii="Noto Sans" w:hAnsi="Noto Sans" w:cs="Noto Sans"/>
      <w:sz w:val="18"/>
      <w:szCs w:val="18"/>
      <w:lang w:val="en-GB"/>
    </w:rPr>
  </w:style>
  <w:style w:type="paragraph" w:styleId="Heading1">
    <w:name w:val="heading 1"/>
    <w:basedOn w:val="Normal"/>
    <w:next w:val="Normal"/>
    <w:link w:val="Heading1Char"/>
    <w:uiPriority w:val="9"/>
    <w:qFormat/>
    <w:rsid w:val="00F6079B"/>
    <w:pPr>
      <w:keepNext/>
      <w:keepLines/>
      <w:spacing w:before="240" w:after="0"/>
      <w:outlineLvl w:val="0"/>
    </w:pPr>
    <w:rPr>
      <w:rFonts w:asciiTheme="majorHAnsi" w:eastAsiaTheme="majorEastAsia" w:hAnsiTheme="majorHAnsi" w:cstheme="majorBidi"/>
      <w:color w:val="16218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1">
    <w:name w:val="ListBullet1"/>
    <w:uiPriority w:val="5"/>
    <w:qFormat/>
    <w:rsid w:val="00295FF9"/>
    <w:pPr>
      <w:numPr>
        <w:numId w:val="14"/>
      </w:numPr>
      <w:spacing w:before="60" w:after="60" w:line="240" w:lineRule="auto"/>
    </w:pPr>
    <w:rPr>
      <w:rFonts w:ascii="Noto Sans" w:hAnsi="Noto Sans" w:cs="Noto Sans"/>
      <w:sz w:val="18"/>
      <w:szCs w:val="18"/>
      <w:lang w:val="en-GB"/>
    </w:rPr>
  </w:style>
  <w:style w:type="paragraph" w:styleId="Header">
    <w:name w:val="header"/>
    <w:basedOn w:val="NormalBody"/>
    <w:link w:val="HeaderChar"/>
    <w:uiPriority w:val="14"/>
    <w:unhideWhenUsed/>
    <w:rsid w:val="004D0F5E"/>
    <w:pPr>
      <w:tabs>
        <w:tab w:val="left" w:pos="227"/>
        <w:tab w:val="right" w:pos="10204"/>
      </w:tabs>
      <w:spacing w:before="0" w:after="0"/>
    </w:pPr>
    <w:rPr>
      <w:rFonts w:cs="Noto Sans SemBd"/>
      <w:bCs/>
      <w:noProof/>
      <w:color w:val="1E2DBE"/>
      <w:sz w:val="16"/>
    </w:rPr>
  </w:style>
  <w:style w:type="character" w:customStyle="1" w:styleId="HeaderChar">
    <w:name w:val="Header Char"/>
    <w:basedOn w:val="DefaultParagraphFont"/>
    <w:link w:val="Header"/>
    <w:uiPriority w:val="14"/>
    <w:rsid w:val="004D0F5E"/>
    <w:rPr>
      <w:rFonts w:ascii="Noto Sans" w:hAnsi="Noto Sans" w:cs="Noto Sans SemBd"/>
      <w:bCs/>
      <w:noProof/>
      <w:color w:val="1E2DBE"/>
      <w:sz w:val="16"/>
      <w:szCs w:val="18"/>
      <w:lang w:val="en-GB"/>
    </w:rPr>
  </w:style>
  <w:style w:type="paragraph" w:styleId="Footer">
    <w:name w:val="footer"/>
    <w:basedOn w:val="NormalBody"/>
    <w:link w:val="FooterChar"/>
    <w:uiPriority w:val="14"/>
    <w:unhideWhenUsed/>
    <w:rsid w:val="00830C02"/>
    <w:pPr>
      <w:tabs>
        <w:tab w:val="center" w:pos="4536"/>
        <w:tab w:val="right" w:pos="9072"/>
      </w:tabs>
      <w:spacing w:before="0" w:after="0"/>
    </w:pPr>
    <w:rPr>
      <w:color w:val="1E2DBE"/>
    </w:rPr>
  </w:style>
  <w:style w:type="character" w:customStyle="1" w:styleId="FooterChar">
    <w:name w:val="Footer Char"/>
    <w:basedOn w:val="DefaultParagraphFont"/>
    <w:link w:val="Footer"/>
    <w:uiPriority w:val="14"/>
    <w:rsid w:val="00897580"/>
    <w:rPr>
      <w:rFonts w:ascii="Noto Sans" w:hAnsi="Noto Sans" w:cs="Noto Sans"/>
      <w:color w:val="1E2DBE"/>
      <w:sz w:val="18"/>
      <w:szCs w:val="18"/>
      <w:lang w:val="en-GB"/>
    </w:rPr>
  </w:style>
  <w:style w:type="paragraph" w:customStyle="1" w:styleId="NormalBody">
    <w:name w:val="NormalBody"/>
    <w:uiPriority w:val="4"/>
    <w:qFormat/>
    <w:rsid w:val="00436F6D"/>
    <w:pPr>
      <w:spacing w:before="120" w:after="120" w:line="240" w:lineRule="auto"/>
      <w:jc w:val="both"/>
    </w:pPr>
    <w:rPr>
      <w:rFonts w:ascii="Noto Sans" w:hAnsi="Noto Sans" w:cs="Noto Sans"/>
      <w:sz w:val="18"/>
      <w:szCs w:val="18"/>
      <w:lang w:val="en-GB"/>
    </w:rPr>
  </w:style>
  <w:style w:type="paragraph" w:customStyle="1" w:styleId="DateMonthYear">
    <w:name w:val="Date(MonthYear)"/>
    <w:link w:val="DateMonthYearCar"/>
    <w:uiPriority w:val="1"/>
    <w:qFormat/>
    <w:rsid w:val="00251EEC"/>
    <w:pPr>
      <w:spacing w:before="120" w:after="120" w:line="240" w:lineRule="auto"/>
      <w:ind w:left="454"/>
    </w:pPr>
    <w:rPr>
      <w:rFonts w:ascii="Overpass Light" w:hAnsi="Overpass Light" w:cs="Noto Sans"/>
      <w:color w:val="1E2DBE"/>
      <w:sz w:val="18"/>
      <w:szCs w:val="18"/>
      <w:lang w:val="en-GB"/>
    </w:rPr>
  </w:style>
  <w:style w:type="character" w:styleId="PlaceholderText">
    <w:name w:val="Placeholder Text"/>
    <w:basedOn w:val="DefaultParagraphFont"/>
    <w:uiPriority w:val="99"/>
    <w:semiHidden/>
    <w:rsid w:val="004C2061"/>
    <w:rPr>
      <w:color w:val="808080"/>
    </w:rPr>
  </w:style>
  <w:style w:type="table" w:styleId="TableGrid">
    <w:name w:val="Table Grid"/>
    <w:basedOn w:val="TableNormal"/>
    <w:uiPriority w:val="59"/>
    <w:rsid w:val="00D6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MonthYearCar">
    <w:name w:val="Date(MonthYear) Car"/>
    <w:basedOn w:val="DefaultParagraphFont"/>
    <w:link w:val="DateMonthYear"/>
    <w:uiPriority w:val="1"/>
    <w:rsid w:val="0039339F"/>
    <w:rPr>
      <w:rFonts w:ascii="Overpass Light" w:hAnsi="Overpass Light" w:cs="Noto Sans"/>
      <w:color w:val="1E2DBE"/>
      <w:sz w:val="18"/>
      <w:szCs w:val="18"/>
      <w:lang w:val="en-GB"/>
    </w:rPr>
  </w:style>
  <w:style w:type="paragraph" w:customStyle="1" w:styleId="KeyTitle">
    <w:name w:val="KeyTitle"/>
    <w:basedOn w:val="NormalBody"/>
    <w:uiPriority w:val="6"/>
    <w:qFormat/>
    <w:rsid w:val="00EA4FB0"/>
    <w:pPr>
      <w:spacing w:before="0" w:after="0"/>
      <w:jc w:val="left"/>
    </w:pPr>
    <w:rPr>
      <w:b/>
      <w:bCs/>
      <w:szCs w:val="20"/>
    </w:rPr>
  </w:style>
  <w:style w:type="paragraph" w:customStyle="1" w:styleId="KeyList">
    <w:name w:val="KeyList"/>
    <w:basedOn w:val="NormalBody"/>
    <w:uiPriority w:val="6"/>
    <w:qFormat/>
    <w:rsid w:val="00295FF9"/>
    <w:pPr>
      <w:numPr>
        <w:numId w:val="17"/>
      </w:numPr>
      <w:jc w:val="left"/>
    </w:pPr>
    <w:rPr>
      <w:lang w:val="fr-CH"/>
    </w:rPr>
  </w:style>
  <w:style w:type="character" w:customStyle="1" w:styleId="Folio">
    <w:name w:val="Folio"/>
    <w:basedOn w:val="DefaultParagraphFont"/>
    <w:uiPriority w:val="14"/>
    <w:qFormat/>
    <w:rsid w:val="00656235"/>
    <w:rPr>
      <w:rFonts w:ascii="Noto Sans" w:hAnsi="Noto Sans"/>
      <w:sz w:val="20"/>
      <w:szCs w:val="22"/>
    </w:rPr>
  </w:style>
  <w:style w:type="paragraph" w:styleId="FootnoteText">
    <w:name w:val="footnote text"/>
    <w:aliases w:val="fn,single space,ALTS FOOTNOTE,Fodnotetekst Tegn,footnote text,FOOTNOTES,Footnote Text Char2,Footnote Text Char1 Char1,Footnote Text Char Char Char1,Footnote Text Char1 Char Char,Footnote Text Char Char Char Char,Footnote Text1,ADB,ft,text"/>
    <w:basedOn w:val="NormalBody"/>
    <w:link w:val="FootnoteTextChar"/>
    <w:uiPriority w:val="99"/>
    <w:qFormat/>
    <w:rsid w:val="00277720"/>
    <w:pPr>
      <w:spacing w:before="60" w:after="60"/>
    </w:pPr>
    <w:rPr>
      <w:sz w:val="14"/>
      <w:szCs w:val="20"/>
    </w:rPr>
  </w:style>
  <w:style w:type="character" w:customStyle="1" w:styleId="FootnoteTextChar">
    <w:name w:val="Footnote Text Char"/>
    <w:aliases w:val="fn Char,single space Char,ALTS FOOTNOTE Char,Fodnotetekst Tegn Char,footnote text Char,FOOTNOTES Char,Footnote Text Char2 Char,Footnote Text Char1 Char1 Char,Footnote Text Char Char Char1 Char,Footnote Text Char1 Char Char Char"/>
    <w:basedOn w:val="DefaultParagraphFont"/>
    <w:link w:val="FootnoteText"/>
    <w:uiPriority w:val="99"/>
    <w:qFormat/>
    <w:rsid w:val="00897580"/>
    <w:rPr>
      <w:rFonts w:ascii="Noto Sans" w:hAnsi="Noto Sans" w:cs="Noto Sans"/>
      <w:sz w:val="14"/>
      <w:szCs w:val="20"/>
      <w:lang w:val="en-GB"/>
    </w:rPr>
  </w:style>
  <w:style w:type="character" w:styleId="FootnoteReference">
    <w:name w:val="footnote reference"/>
    <w:aliases w:val="ftref,16 Point,Superscript 6 Point,Car Car Char Car Char Car Car Char Car Char Char,Car Car Car Car Car Car Car Car Char Car Car Char Car Car Car Char Car Char Char Char,SUPERS,Знак сноски-FN,Footnote Reference Superscript,fr,Ref,4_G"/>
    <w:basedOn w:val="DefaultParagraphFont"/>
    <w:link w:val="CharChar1CharCharCharChar1CharCharCharCharCharCharCharChar"/>
    <w:uiPriority w:val="99"/>
    <w:qFormat/>
    <w:rsid w:val="0090398D"/>
    <w:rPr>
      <w:vertAlign w:val="superscript"/>
    </w:rPr>
  </w:style>
  <w:style w:type="paragraph" w:customStyle="1" w:styleId="QuoteText">
    <w:name w:val="QuoteText"/>
    <w:basedOn w:val="Normal"/>
    <w:uiPriority w:val="11"/>
    <w:qFormat/>
    <w:rsid w:val="00F6079B"/>
    <w:pPr>
      <w:keepNext/>
      <w:pBdr>
        <w:bottom w:val="single" w:sz="4" w:space="6" w:color="1E2DBE"/>
      </w:pBdr>
      <w:spacing w:before="0" w:after="0" w:line="240" w:lineRule="auto"/>
    </w:pPr>
    <w:rPr>
      <w:rFonts w:ascii="Overpass Light" w:hAnsi="Overpass Light"/>
      <w:color w:val="1E2DBE"/>
      <w:sz w:val="32"/>
      <w:szCs w:val="32"/>
      <w:lang w:val="fr-FR"/>
    </w:rPr>
  </w:style>
  <w:style w:type="paragraph" w:customStyle="1" w:styleId="QuoteDescription">
    <w:name w:val="QuoteDescription"/>
    <w:basedOn w:val="NormalBody"/>
    <w:uiPriority w:val="11"/>
    <w:qFormat/>
    <w:rsid w:val="009B37D8"/>
    <w:pPr>
      <w:numPr>
        <w:numId w:val="2"/>
      </w:numPr>
      <w:spacing w:before="0" w:after="0"/>
      <w:ind w:left="227" w:hanging="227"/>
      <w:jc w:val="left"/>
    </w:pPr>
    <w:rPr>
      <w:color w:val="1E2DBE"/>
    </w:rPr>
  </w:style>
  <w:style w:type="paragraph" w:styleId="ListParagraph">
    <w:name w:val="List Paragraph"/>
    <w:aliases w:val="YC Bulet,Primus H 3,Bullet List,FooterText,List Paragraph1,Colorful List Accent 1,numbered,Paragraphe de liste1,列出段落,列出段落1,Bulletr List Paragraph,List Paragraph2,List Paragraph21,Párrafo de lista1,Parágrafo da Lista1,リスト段落1,Plan,Dot pt"/>
    <w:basedOn w:val="Normal"/>
    <w:link w:val="ListParagraphChar"/>
    <w:uiPriority w:val="34"/>
    <w:qFormat/>
    <w:rsid w:val="00800259"/>
    <w:pPr>
      <w:ind w:left="720"/>
      <w:contextualSpacing/>
    </w:pPr>
  </w:style>
  <w:style w:type="paragraph" w:customStyle="1" w:styleId="RunningTitleAutomatic">
    <w:name w:val="RunningTitle(Automatic)"/>
    <w:basedOn w:val="NormalBody"/>
    <w:uiPriority w:val="49"/>
    <w:semiHidden/>
    <w:qFormat/>
    <w:rsid w:val="004E2BE0"/>
    <w:pPr>
      <w:spacing w:before="0" w:after="0"/>
      <w:ind w:left="227"/>
    </w:pPr>
    <w:rPr>
      <w:rFonts w:ascii="Overpass Light" w:hAnsi="Overpass Light"/>
      <w:noProof/>
      <w:color w:val="1E2DBE"/>
    </w:rPr>
  </w:style>
  <w:style w:type="paragraph" w:customStyle="1" w:styleId="ListNum1">
    <w:name w:val="ListNum1"/>
    <w:uiPriority w:val="5"/>
    <w:qFormat/>
    <w:rsid w:val="00295FF9"/>
    <w:pPr>
      <w:numPr>
        <w:numId w:val="12"/>
      </w:numPr>
      <w:spacing w:before="60" w:after="60" w:line="240" w:lineRule="auto"/>
      <w:jc w:val="both"/>
    </w:pPr>
    <w:rPr>
      <w:rFonts w:ascii="Noto Sans" w:hAnsi="Noto Sans" w:cs="Noto Sans"/>
      <w:sz w:val="18"/>
      <w:szCs w:val="18"/>
      <w:lang w:val="en-US"/>
    </w:rPr>
  </w:style>
  <w:style w:type="paragraph" w:customStyle="1" w:styleId="ListNum2">
    <w:name w:val="ListNum2"/>
    <w:uiPriority w:val="5"/>
    <w:qFormat/>
    <w:rsid w:val="00295FF9"/>
    <w:pPr>
      <w:numPr>
        <w:ilvl w:val="1"/>
        <w:numId w:val="13"/>
      </w:numPr>
      <w:spacing w:before="60" w:after="60" w:line="240" w:lineRule="auto"/>
      <w:jc w:val="both"/>
    </w:pPr>
    <w:rPr>
      <w:rFonts w:ascii="Noto Sans" w:hAnsi="Noto Sans"/>
      <w:sz w:val="18"/>
      <w:lang w:val="en-US"/>
    </w:rPr>
  </w:style>
  <w:style w:type="numbering" w:customStyle="1" w:styleId="ListNumILO">
    <w:name w:val="ListNumILO"/>
    <w:basedOn w:val="NoList"/>
    <w:uiPriority w:val="99"/>
    <w:rsid w:val="00295FF9"/>
    <w:pPr>
      <w:numPr>
        <w:numId w:val="3"/>
      </w:numPr>
    </w:pPr>
  </w:style>
  <w:style w:type="paragraph" w:customStyle="1" w:styleId="Source-BoxTable">
    <w:name w:val="Source - BoxTable"/>
    <w:next w:val="NormalBody"/>
    <w:uiPriority w:val="7"/>
    <w:qFormat/>
    <w:rsid w:val="001256A4"/>
    <w:pPr>
      <w:spacing w:before="120" w:after="120" w:line="240" w:lineRule="auto"/>
    </w:pPr>
    <w:rPr>
      <w:rFonts w:ascii="Noto Sans" w:hAnsi="Noto Sans" w:cs="Noto Sans"/>
      <w:sz w:val="14"/>
      <w:szCs w:val="15"/>
      <w:lang w:val="en-GB"/>
    </w:rPr>
  </w:style>
  <w:style w:type="paragraph" w:customStyle="1" w:styleId="PicturePlace">
    <w:name w:val="PicturePlace"/>
    <w:basedOn w:val="NormalBody"/>
    <w:uiPriority w:val="9"/>
    <w:qFormat/>
    <w:rsid w:val="00936FF5"/>
    <w:pPr>
      <w:keepNext/>
      <w:spacing w:after="0"/>
      <w:jc w:val="center"/>
    </w:pPr>
  </w:style>
  <w:style w:type="paragraph" w:customStyle="1" w:styleId="Copyright">
    <w:name w:val="Copyright"/>
    <w:basedOn w:val="NormalBody"/>
    <w:uiPriority w:val="49"/>
    <w:semiHidden/>
    <w:qFormat/>
    <w:rsid w:val="004E2BE0"/>
    <w:pPr>
      <w:spacing w:before="0" w:after="0"/>
      <w:jc w:val="right"/>
    </w:pPr>
    <w:rPr>
      <w:sz w:val="14"/>
      <w:szCs w:val="12"/>
    </w:rPr>
  </w:style>
  <w:style w:type="paragraph" w:customStyle="1" w:styleId="ContactDetail">
    <w:name w:val="ContactDetail"/>
    <w:basedOn w:val="NormalBody"/>
    <w:uiPriority w:val="13"/>
    <w:qFormat/>
    <w:rsid w:val="00FB1F94"/>
    <w:pPr>
      <w:spacing w:before="0" w:after="0"/>
    </w:pPr>
    <w:rPr>
      <w:sz w:val="16"/>
      <w:szCs w:val="15"/>
    </w:rPr>
  </w:style>
  <w:style w:type="table" w:customStyle="1" w:styleId="ILOTable">
    <w:name w:val="ILOTable"/>
    <w:basedOn w:val="TableNormal"/>
    <w:uiPriority w:val="99"/>
    <w:rsid w:val="0038076D"/>
    <w:pPr>
      <w:spacing w:after="0" w:line="240" w:lineRule="auto"/>
    </w:pPr>
    <w:rPr>
      <w:rFonts w:ascii="Noto Sans" w:hAnsi="Noto Sans"/>
      <w:sz w:val="18"/>
    </w:rPr>
    <w:tblPr>
      <w:tblStyleRowBandSize w:val="1"/>
      <w:tblBorders>
        <w:top w:val="single" w:sz="2" w:space="0" w:color="1E2DBE"/>
        <w:left w:val="single" w:sz="2" w:space="0" w:color="1E2DBE"/>
        <w:bottom w:val="single" w:sz="2" w:space="0" w:color="1E2DBE"/>
        <w:right w:val="single" w:sz="2" w:space="0" w:color="1E2DBE"/>
        <w:insideH w:val="single" w:sz="2" w:space="0" w:color="1E2DBE"/>
        <w:insideV w:val="single" w:sz="2" w:space="0" w:color="1E2DBE"/>
      </w:tblBorders>
      <w:tblCellMar>
        <w:top w:w="28" w:type="dxa"/>
        <w:left w:w="57" w:type="dxa"/>
        <w:bottom w:w="28" w:type="dxa"/>
        <w:right w:w="57" w:type="dxa"/>
      </w:tblCellMar>
    </w:tblPr>
    <w:trPr>
      <w:cantSplit/>
    </w:trPr>
    <w:tcPr>
      <w:shd w:val="clear" w:color="auto" w:fill="auto"/>
      <w:vAlign w:val="center"/>
    </w:tcPr>
    <w:tblStylePr w:type="firstRow">
      <w:pPr>
        <w:jc w:val="left"/>
      </w:pPr>
      <w:tblPr/>
      <w:tcPr>
        <w:tcBorders>
          <w:insideV w:val="single" w:sz="2" w:space="0" w:color="FFFFFF" w:themeColor="background1"/>
        </w:tcBorders>
        <w:shd w:val="clear" w:color="auto" w:fill="1E2DBE"/>
      </w:tcPr>
    </w:tblStylePr>
    <w:tblStylePr w:type="band1Horz">
      <w:pPr>
        <w:jc w:val="left"/>
      </w:pPr>
      <w:tblPr/>
      <w:tcPr>
        <w:tcBorders>
          <w:insideH w:val="single" w:sz="4" w:space="0" w:color="1E2DBE"/>
          <w:insideV w:val="single" w:sz="2" w:space="0" w:color="1E2DBE"/>
        </w:tcBorders>
        <w:shd w:val="clear" w:color="auto" w:fill="EBF5FD"/>
      </w:tcPr>
    </w:tblStylePr>
    <w:tblStylePr w:type="band2Horz">
      <w:pPr>
        <w:jc w:val="left"/>
      </w:pPr>
      <w:tblPr/>
      <w:tcPr>
        <w:tcBorders>
          <w:insideH w:val="single" w:sz="4" w:space="0" w:color="1E2DBE"/>
          <w:insideV w:val="single" w:sz="2" w:space="0" w:color="1E2DBE"/>
        </w:tcBorders>
        <w:shd w:val="clear" w:color="auto" w:fill="auto"/>
      </w:tcPr>
    </w:tblStylePr>
  </w:style>
  <w:style w:type="table" w:styleId="GridTable4-Accent2">
    <w:name w:val="Grid Table 4 Accent 2"/>
    <w:basedOn w:val="TableNormal"/>
    <w:uiPriority w:val="49"/>
    <w:rsid w:val="00FF7AE8"/>
    <w:pPr>
      <w:spacing w:after="0" w:line="240" w:lineRule="auto"/>
    </w:pPr>
    <w:tblPr>
      <w:tblStyleRowBandSize w:val="1"/>
      <w:tblStyleColBandSize w:val="1"/>
      <w:tblBorders>
        <w:top w:val="single" w:sz="4" w:space="0" w:color="FC8A92" w:themeColor="accent2" w:themeTint="99"/>
        <w:left w:val="single" w:sz="4" w:space="0" w:color="FC8A92" w:themeColor="accent2" w:themeTint="99"/>
        <w:bottom w:val="single" w:sz="4" w:space="0" w:color="FC8A92" w:themeColor="accent2" w:themeTint="99"/>
        <w:right w:val="single" w:sz="4" w:space="0" w:color="FC8A92" w:themeColor="accent2" w:themeTint="99"/>
        <w:insideH w:val="single" w:sz="4" w:space="0" w:color="FC8A92" w:themeColor="accent2" w:themeTint="99"/>
        <w:insideV w:val="single" w:sz="4" w:space="0" w:color="FC8A92" w:themeColor="accent2" w:themeTint="99"/>
      </w:tblBorders>
    </w:tblPr>
    <w:tblStylePr w:type="firstRow">
      <w:rPr>
        <w:b/>
        <w:bCs/>
        <w:color w:val="FFFFFF" w:themeColor="background1"/>
      </w:rPr>
      <w:tblPr/>
      <w:tcPr>
        <w:tcBorders>
          <w:top w:val="single" w:sz="4" w:space="0" w:color="FA3C4B" w:themeColor="accent2"/>
          <w:left w:val="single" w:sz="4" w:space="0" w:color="FA3C4B" w:themeColor="accent2"/>
          <w:bottom w:val="single" w:sz="4" w:space="0" w:color="FA3C4B" w:themeColor="accent2"/>
          <w:right w:val="single" w:sz="4" w:space="0" w:color="FA3C4B" w:themeColor="accent2"/>
          <w:insideH w:val="nil"/>
          <w:insideV w:val="nil"/>
        </w:tcBorders>
        <w:shd w:val="clear" w:color="auto" w:fill="FA3C4B" w:themeFill="accent2"/>
      </w:tcPr>
    </w:tblStylePr>
    <w:tblStylePr w:type="lastRow">
      <w:rPr>
        <w:b/>
        <w:bCs/>
      </w:rPr>
      <w:tblPr/>
      <w:tcPr>
        <w:tcBorders>
          <w:top w:val="double" w:sz="4" w:space="0" w:color="FA3C4B" w:themeColor="accent2"/>
        </w:tcBorders>
      </w:tcPr>
    </w:tblStylePr>
    <w:tblStylePr w:type="firstCol">
      <w:rPr>
        <w:b/>
        <w:bCs/>
      </w:rPr>
    </w:tblStylePr>
    <w:tblStylePr w:type="lastCol">
      <w:rPr>
        <w:b/>
        <w:bCs/>
      </w:rPr>
    </w:tblStylePr>
    <w:tblStylePr w:type="band1Vert">
      <w:tblPr/>
      <w:tcPr>
        <w:shd w:val="clear" w:color="auto" w:fill="FED8DA" w:themeFill="accent2" w:themeFillTint="33"/>
      </w:tcPr>
    </w:tblStylePr>
    <w:tblStylePr w:type="band1Horz">
      <w:tblPr/>
      <w:tcPr>
        <w:shd w:val="clear" w:color="auto" w:fill="FED8DA" w:themeFill="accent2" w:themeFillTint="33"/>
      </w:tcPr>
    </w:tblStylePr>
  </w:style>
  <w:style w:type="paragraph" w:customStyle="1" w:styleId="Tabletextleft">
    <w:name w:val="Table text left"/>
    <w:uiPriority w:val="8"/>
    <w:qFormat/>
    <w:rsid w:val="00163FC4"/>
    <w:pPr>
      <w:spacing w:after="0" w:line="240" w:lineRule="auto"/>
    </w:pPr>
    <w:rPr>
      <w:rFonts w:ascii="Noto Sans" w:hAnsi="Noto Sans" w:cs="Noto Sans"/>
      <w:sz w:val="18"/>
      <w:szCs w:val="18"/>
      <w:lang w:val="en-GB"/>
    </w:rPr>
  </w:style>
  <w:style w:type="paragraph" w:customStyle="1" w:styleId="TableTitle">
    <w:name w:val="TableTitle"/>
    <w:next w:val="NormalBody"/>
    <w:uiPriority w:val="8"/>
    <w:qFormat/>
    <w:rsid w:val="00295FF9"/>
    <w:pPr>
      <w:keepNext/>
      <w:numPr>
        <w:numId w:val="11"/>
      </w:numPr>
      <w:spacing w:before="120" w:after="120" w:line="240" w:lineRule="auto"/>
    </w:pPr>
    <w:rPr>
      <w:rFonts w:ascii="Noto Sans" w:hAnsi="Noto Sans" w:cs="Noto Sans"/>
      <w:b/>
      <w:bCs/>
      <w:color w:val="1E2DBE"/>
      <w:sz w:val="18"/>
      <w:szCs w:val="18"/>
      <w:lang w:val="en-GB"/>
    </w:rPr>
  </w:style>
  <w:style w:type="character" w:styleId="Hyperlink">
    <w:name w:val="Hyperlink"/>
    <w:basedOn w:val="DefaultParagraphFont"/>
    <w:uiPriority w:val="99"/>
    <w:unhideWhenUsed/>
    <w:rsid w:val="00A370B4"/>
    <w:rPr>
      <w:color w:val="1E2DBE"/>
      <w:u w:val="single"/>
    </w:rPr>
  </w:style>
  <w:style w:type="character" w:customStyle="1" w:styleId="UnresolvedMention1">
    <w:name w:val="Unresolved Mention1"/>
    <w:basedOn w:val="DefaultParagraphFont"/>
    <w:uiPriority w:val="99"/>
    <w:semiHidden/>
    <w:unhideWhenUsed/>
    <w:rsid w:val="0063433F"/>
    <w:rPr>
      <w:color w:val="605E5C"/>
      <w:shd w:val="clear" w:color="auto" w:fill="E1DFDD"/>
    </w:rPr>
  </w:style>
  <w:style w:type="paragraph" w:customStyle="1" w:styleId="LineFootnote">
    <w:name w:val="LineFootnote"/>
    <w:basedOn w:val="NormalBody"/>
    <w:next w:val="FootnoteText"/>
    <w:uiPriority w:val="28"/>
    <w:semiHidden/>
    <w:qFormat/>
    <w:rsid w:val="009717DA"/>
    <w:pPr>
      <w:pBdr>
        <w:bottom w:val="single" w:sz="8" w:space="0" w:color="1E2DBE"/>
      </w:pBdr>
      <w:spacing w:after="60"/>
      <w:ind w:right="9921"/>
    </w:pPr>
  </w:style>
  <w:style w:type="paragraph" w:customStyle="1" w:styleId="DocumentEndParagraph">
    <w:name w:val="DocumentEndParagraph"/>
    <w:basedOn w:val="NormalBody"/>
    <w:uiPriority w:val="29"/>
    <w:semiHidden/>
    <w:qFormat/>
    <w:rsid w:val="00DF792D"/>
    <w:pPr>
      <w:spacing w:before="0" w:after="0"/>
    </w:pPr>
    <w:rPr>
      <w:sz w:val="6"/>
    </w:rPr>
  </w:style>
  <w:style w:type="numbering" w:customStyle="1" w:styleId="ListNoNumILO">
    <w:name w:val="ListNoNumILO"/>
    <w:basedOn w:val="NoList"/>
    <w:uiPriority w:val="99"/>
    <w:rsid w:val="00295FF9"/>
    <w:pPr>
      <w:numPr>
        <w:numId w:val="8"/>
      </w:numPr>
    </w:pPr>
  </w:style>
  <w:style w:type="paragraph" w:customStyle="1" w:styleId="ContactDetailTitle">
    <w:name w:val="ContactDetailTitle"/>
    <w:basedOn w:val="NormalBody"/>
    <w:uiPriority w:val="13"/>
    <w:qFormat/>
    <w:rsid w:val="004E2BE0"/>
    <w:pPr>
      <w:spacing w:before="0" w:after="0"/>
    </w:pPr>
    <w:rPr>
      <w:b/>
      <w:bCs/>
    </w:rPr>
  </w:style>
  <w:style w:type="paragraph" w:customStyle="1" w:styleId="Headinglevel1">
    <w:name w:val="Heading level 1"/>
    <w:next w:val="NormalBody"/>
    <w:uiPriority w:val="2"/>
    <w:qFormat/>
    <w:rsid w:val="00241016"/>
    <w:pPr>
      <w:keepNext/>
      <w:keepLines/>
      <w:pageBreakBefore/>
      <w:numPr>
        <w:numId w:val="1"/>
      </w:numPr>
      <w:pBdr>
        <w:bottom w:val="single" w:sz="4" w:space="6" w:color="1E2DBE"/>
      </w:pBdr>
      <w:spacing w:before="480" w:after="360" w:line="240" w:lineRule="auto"/>
      <w:contextualSpacing/>
      <w:outlineLvl w:val="0"/>
    </w:pPr>
    <w:rPr>
      <w:rFonts w:ascii="Overpass" w:hAnsi="Overpass" w:cs="Noto Sans"/>
      <w:b/>
      <w:bCs/>
      <w:color w:val="1E2DBE"/>
      <w:sz w:val="36"/>
      <w:szCs w:val="36"/>
      <w:lang w:val="en-GB"/>
    </w:rPr>
  </w:style>
  <w:style w:type="paragraph" w:customStyle="1" w:styleId="Authors">
    <w:name w:val="Authors"/>
    <w:uiPriority w:val="1"/>
    <w:qFormat/>
    <w:rsid w:val="003C159D"/>
    <w:pPr>
      <w:spacing w:before="1800" w:after="120" w:line="240" w:lineRule="auto"/>
      <w:ind w:left="454"/>
    </w:pPr>
    <w:rPr>
      <w:rFonts w:ascii="Overpass" w:hAnsi="Overpass" w:cs="Noto Sans"/>
      <w:b/>
      <w:color w:val="1E2DBE"/>
      <w:sz w:val="20"/>
      <w:szCs w:val="20"/>
      <w:lang w:val="en-GB"/>
    </w:rPr>
  </w:style>
  <w:style w:type="paragraph" w:customStyle="1" w:styleId="Headinglevel2">
    <w:name w:val="Heading level 2"/>
    <w:next w:val="NormalBody"/>
    <w:uiPriority w:val="2"/>
    <w:qFormat/>
    <w:rsid w:val="00294B42"/>
    <w:pPr>
      <w:keepNext/>
      <w:keepLines/>
      <w:spacing w:before="240" w:after="120" w:line="240" w:lineRule="auto"/>
      <w:contextualSpacing/>
      <w:outlineLvl w:val="1"/>
    </w:pPr>
    <w:rPr>
      <w:rFonts w:ascii="Overpass" w:hAnsi="Overpass" w:cs="Noto Sans"/>
      <w:b/>
      <w:bCs/>
      <w:color w:val="FA3C4B"/>
      <w:sz w:val="30"/>
      <w:szCs w:val="30"/>
      <w:lang w:val="en-US"/>
    </w:rPr>
  </w:style>
  <w:style w:type="paragraph" w:customStyle="1" w:styleId="DocumentSubtitle">
    <w:name w:val="DocumentSubtitle"/>
    <w:next w:val="NormalBody"/>
    <w:qFormat/>
    <w:rsid w:val="008059D3"/>
    <w:pPr>
      <w:spacing w:before="480" w:after="480" w:line="240" w:lineRule="auto"/>
      <w:ind w:left="454"/>
    </w:pPr>
    <w:rPr>
      <w:rFonts w:ascii="Overpass Light" w:hAnsi="Overpass Light" w:cs="Noto Sans"/>
      <w:color w:val="1E2DBE"/>
      <w:sz w:val="44"/>
      <w:szCs w:val="44"/>
      <w:lang w:val="en-GB"/>
    </w:rPr>
  </w:style>
  <w:style w:type="character" w:customStyle="1" w:styleId="Heading1Char">
    <w:name w:val="Heading 1 Char"/>
    <w:basedOn w:val="DefaultParagraphFont"/>
    <w:link w:val="Heading1"/>
    <w:uiPriority w:val="9"/>
    <w:rsid w:val="00F6079B"/>
    <w:rPr>
      <w:rFonts w:asciiTheme="majorHAnsi" w:eastAsiaTheme="majorEastAsia" w:hAnsiTheme="majorHAnsi" w:cstheme="majorBidi"/>
      <w:color w:val="16218E" w:themeColor="accent1" w:themeShade="BF"/>
      <w:sz w:val="32"/>
      <w:szCs w:val="32"/>
      <w:lang w:val="en-GB"/>
    </w:rPr>
  </w:style>
  <w:style w:type="paragraph" w:customStyle="1" w:styleId="DocumentTitle">
    <w:name w:val="DocumentTitle"/>
    <w:next w:val="NormalBody"/>
    <w:qFormat/>
    <w:rsid w:val="0049286A"/>
    <w:pPr>
      <w:numPr>
        <w:numId w:val="5"/>
      </w:numPr>
      <w:spacing w:before="1800" w:after="480" w:line="240" w:lineRule="auto"/>
    </w:pPr>
    <w:rPr>
      <w:rFonts w:ascii="Overpass" w:hAnsi="Overpass" w:cs="Noto Sans"/>
      <w:b/>
      <w:color w:val="1E2DBE"/>
      <w:sz w:val="56"/>
      <w:szCs w:val="60"/>
      <w:lang w:val="en-GB"/>
    </w:rPr>
  </w:style>
  <w:style w:type="paragraph" w:customStyle="1" w:styleId="Headinglevel3">
    <w:name w:val="Heading level 3"/>
    <w:next w:val="NormalBody"/>
    <w:uiPriority w:val="2"/>
    <w:qFormat/>
    <w:rsid w:val="00294B42"/>
    <w:pPr>
      <w:keepNext/>
      <w:keepLines/>
      <w:spacing w:before="240" w:after="120" w:line="240" w:lineRule="auto"/>
      <w:outlineLvl w:val="2"/>
    </w:pPr>
    <w:rPr>
      <w:rFonts w:ascii="Overpass" w:hAnsi="Overpass" w:cs="Noto Sans"/>
      <w:b/>
      <w:color w:val="1E2CBD"/>
      <w:sz w:val="26"/>
      <w:szCs w:val="27"/>
      <w:lang w:val="en-US"/>
    </w:rPr>
  </w:style>
  <w:style w:type="paragraph" w:customStyle="1" w:styleId="Headinglevel4">
    <w:name w:val="Heading level 4"/>
    <w:next w:val="NormalBody"/>
    <w:uiPriority w:val="2"/>
    <w:qFormat/>
    <w:rsid w:val="00294B42"/>
    <w:pPr>
      <w:keepNext/>
      <w:keepLines/>
      <w:spacing w:before="240" w:after="120" w:line="240" w:lineRule="auto"/>
      <w:outlineLvl w:val="3"/>
    </w:pPr>
    <w:rPr>
      <w:rFonts w:ascii="Overpass" w:hAnsi="Overpass" w:cs="Noto Sans"/>
      <w:b/>
      <w:color w:val="230050"/>
      <w:lang w:val="en-US"/>
    </w:rPr>
  </w:style>
  <w:style w:type="paragraph" w:customStyle="1" w:styleId="Department">
    <w:name w:val="Department"/>
    <w:uiPriority w:val="1"/>
    <w:qFormat/>
    <w:rsid w:val="00251EEC"/>
    <w:pPr>
      <w:spacing w:after="5400" w:line="240" w:lineRule="auto"/>
      <w:ind w:left="454"/>
    </w:pPr>
    <w:rPr>
      <w:rFonts w:ascii="Overpass" w:hAnsi="Overpass" w:cs="Noto Sans"/>
      <w:b/>
      <w:sz w:val="18"/>
      <w:szCs w:val="18"/>
      <w:lang w:val="en-GB"/>
    </w:rPr>
  </w:style>
  <w:style w:type="paragraph" w:customStyle="1" w:styleId="ParaNum">
    <w:name w:val="ParaNum"/>
    <w:link w:val="ParaNumChar"/>
    <w:autoRedefine/>
    <w:uiPriority w:val="4"/>
    <w:qFormat/>
    <w:rsid w:val="008B4B13"/>
    <w:pPr>
      <w:numPr>
        <w:numId w:val="6"/>
      </w:numPr>
      <w:spacing w:before="120" w:after="120" w:line="240" w:lineRule="auto"/>
      <w:ind w:left="340" w:hanging="340"/>
      <w:jc w:val="both"/>
    </w:pPr>
    <w:rPr>
      <w:rFonts w:ascii="Noto Sans" w:hAnsi="Noto Sans"/>
      <w:sz w:val="18"/>
      <w:szCs w:val="20"/>
      <w:lang w:val="en-US"/>
    </w:rPr>
  </w:style>
  <w:style w:type="character" w:customStyle="1" w:styleId="ParaNumChar">
    <w:name w:val="ParaNum Char"/>
    <w:basedOn w:val="DefaultParagraphFont"/>
    <w:link w:val="ParaNum"/>
    <w:uiPriority w:val="4"/>
    <w:rsid w:val="008B4B13"/>
    <w:rPr>
      <w:rFonts w:ascii="Noto Sans" w:hAnsi="Noto Sans"/>
      <w:sz w:val="18"/>
      <w:szCs w:val="20"/>
      <w:lang w:val="en-US"/>
    </w:rPr>
  </w:style>
  <w:style w:type="paragraph" w:styleId="TOC1">
    <w:name w:val="toc 1"/>
    <w:basedOn w:val="Normal"/>
    <w:next w:val="Normal"/>
    <w:autoRedefine/>
    <w:uiPriority w:val="39"/>
    <w:unhideWhenUsed/>
    <w:rsid w:val="004C5B4A"/>
    <w:pPr>
      <w:tabs>
        <w:tab w:val="right" w:pos="9072"/>
      </w:tabs>
      <w:spacing w:line="240" w:lineRule="auto"/>
      <w:ind w:left="624" w:hanging="284"/>
      <w:jc w:val="both"/>
    </w:pPr>
    <w:rPr>
      <w:rFonts w:cstheme="minorBidi"/>
      <w:b/>
      <w:szCs w:val="20"/>
      <w:lang w:val="en-US"/>
    </w:rPr>
  </w:style>
  <w:style w:type="paragraph" w:customStyle="1" w:styleId="ListBullet2">
    <w:name w:val="ListBullet2"/>
    <w:uiPriority w:val="5"/>
    <w:qFormat/>
    <w:rsid w:val="00295FF9"/>
    <w:pPr>
      <w:numPr>
        <w:ilvl w:val="1"/>
        <w:numId w:val="15"/>
      </w:numPr>
      <w:spacing w:before="60" w:after="60" w:line="240" w:lineRule="auto"/>
      <w:jc w:val="both"/>
    </w:pPr>
    <w:rPr>
      <w:rFonts w:ascii="Noto Sans" w:eastAsia="SimSun" w:hAnsi="Noto Sans"/>
      <w:sz w:val="18"/>
      <w:szCs w:val="20"/>
      <w:lang w:val="en-GB"/>
    </w:rPr>
  </w:style>
  <w:style w:type="paragraph" w:styleId="TOC2">
    <w:name w:val="toc 2"/>
    <w:basedOn w:val="Normal"/>
    <w:next w:val="Normal"/>
    <w:autoRedefine/>
    <w:uiPriority w:val="39"/>
    <w:unhideWhenUsed/>
    <w:rsid w:val="004C5B4A"/>
    <w:pPr>
      <w:tabs>
        <w:tab w:val="right" w:pos="9072"/>
      </w:tabs>
      <w:spacing w:line="240" w:lineRule="auto"/>
      <w:ind w:left="1134" w:hanging="454"/>
      <w:contextualSpacing/>
    </w:pPr>
    <w:rPr>
      <w:rFonts w:cstheme="minorBidi"/>
      <w:noProof/>
      <w:szCs w:val="20"/>
      <w:lang w:val="en-US"/>
    </w:rPr>
  </w:style>
  <w:style w:type="paragraph" w:customStyle="1" w:styleId="BoxTitle">
    <w:name w:val="BoxTitle"/>
    <w:basedOn w:val="TableTitle"/>
    <w:next w:val="NormalBody"/>
    <w:uiPriority w:val="7"/>
    <w:qFormat/>
    <w:rsid w:val="008200E3"/>
    <w:pPr>
      <w:numPr>
        <w:numId w:val="7"/>
      </w:numPr>
      <w:ind w:left="227" w:hanging="227"/>
    </w:pPr>
  </w:style>
  <w:style w:type="paragraph" w:customStyle="1" w:styleId="GraphicTitle">
    <w:name w:val="GraphicTitle"/>
    <w:basedOn w:val="TableTitle"/>
    <w:next w:val="NormalBody"/>
    <w:uiPriority w:val="9"/>
    <w:qFormat/>
    <w:rsid w:val="008200E3"/>
    <w:pPr>
      <w:numPr>
        <w:numId w:val="4"/>
      </w:numPr>
      <w:ind w:left="227" w:hanging="227"/>
    </w:pPr>
    <w:rPr>
      <w:bCs w:val="0"/>
    </w:rPr>
  </w:style>
  <w:style w:type="paragraph" w:customStyle="1" w:styleId="QuotationMarks">
    <w:name w:val="QuotationMarks"/>
    <w:uiPriority w:val="11"/>
    <w:qFormat/>
    <w:rsid w:val="00FC4A9F"/>
    <w:pPr>
      <w:keepNext/>
      <w:pBdr>
        <w:bottom w:val="single" w:sz="4" w:space="6" w:color="1E2DBE"/>
      </w:pBdr>
      <w:spacing w:before="100" w:after="0" w:line="240" w:lineRule="auto"/>
    </w:pPr>
    <w:rPr>
      <w:rFonts w:ascii="Noto Sans" w:hAnsi="Noto Sans" w:cs="Noto Sans"/>
      <w:sz w:val="18"/>
      <w:szCs w:val="18"/>
      <w:lang w:val="en-GB"/>
    </w:rPr>
  </w:style>
  <w:style w:type="paragraph" w:customStyle="1" w:styleId="Source-GraphicPicture">
    <w:name w:val="Source - GraphicPicture"/>
    <w:next w:val="NormalBody"/>
    <w:uiPriority w:val="9"/>
    <w:qFormat/>
    <w:rsid w:val="001256A4"/>
    <w:pPr>
      <w:spacing w:after="0" w:line="240" w:lineRule="auto"/>
      <w:ind w:left="113"/>
    </w:pPr>
    <w:rPr>
      <w:rFonts w:ascii="Noto Sans" w:hAnsi="Noto Sans" w:cs="Noto Sans"/>
      <w:sz w:val="14"/>
      <w:szCs w:val="15"/>
      <w:lang w:val="en-GB"/>
    </w:rPr>
  </w:style>
  <w:style w:type="paragraph" w:customStyle="1" w:styleId="Tableheaderleft">
    <w:name w:val="Table header left"/>
    <w:next w:val="Tabletextleft"/>
    <w:uiPriority w:val="8"/>
    <w:qFormat/>
    <w:rsid w:val="003C7137"/>
    <w:pPr>
      <w:spacing w:after="0" w:line="240" w:lineRule="auto"/>
    </w:pPr>
    <w:rPr>
      <w:rFonts w:ascii="Noto Sans" w:hAnsi="Noto Sans" w:cs="Noto Sans"/>
      <w:b/>
      <w:color w:val="FFFFFF" w:themeColor="background1"/>
      <w:sz w:val="18"/>
      <w:szCs w:val="18"/>
      <w:lang w:val="en-GB"/>
    </w:rPr>
  </w:style>
  <w:style w:type="paragraph" w:styleId="BalloonText">
    <w:name w:val="Balloon Text"/>
    <w:basedOn w:val="Normal"/>
    <w:link w:val="BalloonTextChar"/>
    <w:uiPriority w:val="99"/>
    <w:semiHidden/>
    <w:unhideWhenUsed/>
    <w:rsid w:val="003C7137"/>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C7137"/>
    <w:rPr>
      <w:rFonts w:ascii="Segoe UI" w:hAnsi="Segoe UI" w:cs="Segoe UI"/>
      <w:sz w:val="18"/>
      <w:szCs w:val="18"/>
      <w:lang w:val="en-GB"/>
    </w:rPr>
  </w:style>
  <w:style w:type="paragraph" w:customStyle="1" w:styleId="Tableheaderright">
    <w:name w:val="Table header right"/>
    <w:basedOn w:val="Tableheaderleft"/>
    <w:uiPriority w:val="8"/>
    <w:qFormat/>
    <w:rsid w:val="003C7137"/>
    <w:pPr>
      <w:jc w:val="right"/>
    </w:pPr>
  </w:style>
  <w:style w:type="paragraph" w:customStyle="1" w:styleId="Tabletextright">
    <w:name w:val="Table text right"/>
    <w:basedOn w:val="Tabletextleft"/>
    <w:uiPriority w:val="8"/>
    <w:qFormat/>
    <w:rsid w:val="003C7137"/>
    <w:pPr>
      <w:jc w:val="right"/>
    </w:pPr>
  </w:style>
  <w:style w:type="paragraph" w:styleId="TOC3">
    <w:name w:val="toc 3"/>
    <w:basedOn w:val="Normal"/>
    <w:next w:val="Normal"/>
    <w:autoRedefine/>
    <w:uiPriority w:val="39"/>
    <w:unhideWhenUsed/>
    <w:rsid w:val="007942D4"/>
    <w:pPr>
      <w:tabs>
        <w:tab w:val="right" w:pos="9072"/>
      </w:tabs>
      <w:spacing w:line="240" w:lineRule="auto"/>
      <w:ind w:left="1701" w:hanging="567"/>
      <w:contextualSpacing/>
      <w:jc w:val="both"/>
    </w:pPr>
    <w:rPr>
      <w:rFonts w:cstheme="minorBidi"/>
      <w:noProof/>
      <w:szCs w:val="20"/>
      <w:lang w:val="en-US"/>
    </w:rPr>
  </w:style>
  <w:style w:type="paragraph" w:customStyle="1" w:styleId="Headinglevel1Num">
    <w:name w:val="Heading level 1 Num"/>
    <w:basedOn w:val="Headinglevel1"/>
    <w:next w:val="NormalBody"/>
    <w:uiPriority w:val="3"/>
    <w:qFormat/>
    <w:rsid w:val="0011705F"/>
    <w:pPr>
      <w:numPr>
        <w:numId w:val="0"/>
      </w:numPr>
      <w:tabs>
        <w:tab w:val="left" w:pos="794"/>
      </w:tabs>
    </w:pPr>
  </w:style>
  <w:style w:type="paragraph" w:customStyle="1" w:styleId="Headinglevel2Num">
    <w:name w:val="Heading level 2 Num"/>
    <w:basedOn w:val="Headinglevel2"/>
    <w:next w:val="NormalBody"/>
    <w:uiPriority w:val="3"/>
    <w:qFormat/>
    <w:rsid w:val="0011705F"/>
    <w:pPr>
      <w:spacing w:before="360"/>
    </w:pPr>
  </w:style>
  <w:style w:type="paragraph" w:customStyle="1" w:styleId="Headinglevel3Num">
    <w:name w:val="Heading level 3 Num"/>
    <w:basedOn w:val="Headinglevel3"/>
    <w:next w:val="NormalBody"/>
    <w:uiPriority w:val="3"/>
    <w:qFormat/>
    <w:rsid w:val="0011705F"/>
    <w:pPr>
      <w:spacing w:before="360"/>
    </w:pPr>
  </w:style>
  <w:style w:type="paragraph" w:customStyle="1" w:styleId="Headinglevel4Num">
    <w:name w:val="Heading level 4 Num"/>
    <w:basedOn w:val="Headinglevel4"/>
    <w:next w:val="NormalBody"/>
    <w:uiPriority w:val="3"/>
    <w:qFormat/>
    <w:rsid w:val="0011705F"/>
    <w:pPr>
      <w:tabs>
        <w:tab w:val="left" w:pos="794"/>
      </w:tabs>
    </w:pPr>
  </w:style>
  <w:style w:type="table" w:styleId="LightList">
    <w:name w:val="Light List"/>
    <w:basedOn w:val="TableNormal"/>
    <w:uiPriority w:val="61"/>
    <w:rsid w:val="00A06E45"/>
    <w:pPr>
      <w:spacing w:after="0" w:line="240" w:lineRule="auto"/>
    </w:pPr>
    <w:rPr>
      <w:rFonts w:eastAsiaTheme="minorEastAsia"/>
      <w:lang w:val="de-DE"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OCPage">
    <w:name w:val="TOC Page"/>
    <w:basedOn w:val="NormalBody"/>
    <w:uiPriority w:val="30"/>
    <w:qFormat/>
    <w:rsid w:val="004C5B4A"/>
    <w:pPr>
      <w:ind w:right="567"/>
      <w:jc w:val="right"/>
    </w:pPr>
    <w:rPr>
      <w:b/>
      <w:color w:val="230050"/>
      <w:sz w:val="16"/>
    </w:rPr>
  </w:style>
  <w:style w:type="numbering" w:customStyle="1" w:styleId="Table-Box-GraphicTitle">
    <w:name w:val="Table-Box-Graphic Title"/>
    <w:uiPriority w:val="99"/>
    <w:rsid w:val="00295FF9"/>
    <w:pPr>
      <w:numPr>
        <w:numId w:val="10"/>
      </w:numPr>
    </w:pPr>
  </w:style>
  <w:style w:type="numbering" w:customStyle="1" w:styleId="KeyListILO">
    <w:name w:val="KeyListILO"/>
    <w:uiPriority w:val="99"/>
    <w:rsid w:val="00295FF9"/>
    <w:pPr>
      <w:numPr>
        <w:numId w:val="16"/>
      </w:numPr>
    </w:pPr>
  </w:style>
  <w:style w:type="paragraph" w:styleId="CommentText">
    <w:name w:val="annotation text"/>
    <w:basedOn w:val="Normal"/>
    <w:link w:val="CommentTextChar"/>
    <w:uiPriority w:val="99"/>
    <w:unhideWhenUsed/>
    <w:rsid w:val="008A40E3"/>
    <w:pPr>
      <w:spacing w:before="0" w:after="200" w:line="240" w:lineRule="auto"/>
    </w:pPr>
    <w:rPr>
      <w:rFonts w:ascii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8A40E3"/>
    <w:rPr>
      <w:sz w:val="20"/>
      <w:szCs w:val="20"/>
      <w:lang w:val="en-US"/>
    </w:rPr>
  </w:style>
  <w:style w:type="character" w:styleId="UnresolvedMention">
    <w:name w:val="Unresolved Mention"/>
    <w:basedOn w:val="DefaultParagraphFont"/>
    <w:uiPriority w:val="99"/>
    <w:semiHidden/>
    <w:unhideWhenUsed/>
    <w:rsid w:val="008A40E3"/>
    <w:rPr>
      <w:color w:val="605E5C"/>
      <w:shd w:val="clear" w:color="auto" w:fill="E1DFDD"/>
    </w:rPr>
  </w:style>
  <w:style w:type="character" w:styleId="CommentReference">
    <w:name w:val="annotation reference"/>
    <w:basedOn w:val="DefaultParagraphFont"/>
    <w:uiPriority w:val="99"/>
    <w:semiHidden/>
    <w:unhideWhenUsed/>
    <w:rsid w:val="00AC6D54"/>
    <w:rPr>
      <w:sz w:val="16"/>
      <w:szCs w:val="16"/>
    </w:rPr>
  </w:style>
  <w:style w:type="paragraph" w:styleId="Revision">
    <w:name w:val="Revision"/>
    <w:hidden/>
    <w:uiPriority w:val="99"/>
    <w:semiHidden/>
    <w:rsid w:val="0067782D"/>
    <w:pPr>
      <w:spacing w:after="0" w:line="240" w:lineRule="auto"/>
    </w:pPr>
    <w:rPr>
      <w:rFonts w:ascii="Noto Sans" w:hAnsi="Noto Sans" w:cs="Noto Sans"/>
      <w:sz w:val="18"/>
      <w:szCs w:val="18"/>
      <w:lang w:val="en-GB"/>
    </w:rPr>
  </w:style>
  <w:style w:type="paragraph" w:styleId="CommentSubject">
    <w:name w:val="annotation subject"/>
    <w:basedOn w:val="CommentText"/>
    <w:next w:val="CommentText"/>
    <w:link w:val="CommentSubjectChar"/>
    <w:uiPriority w:val="99"/>
    <w:semiHidden/>
    <w:unhideWhenUsed/>
    <w:rsid w:val="0067782D"/>
    <w:pPr>
      <w:spacing w:before="120" w:after="120"/>
    </w:pPr>
    <w:rPr>
      <w:rFonts w:ascii="Noto Sans" w:hAnsi="Noto Sans" w:cs="Noto Sans"/>
      <w:b/>
      <w:bCs/>
      <w:lang w:val="en-GB"/>
    </w:rPr>
  </w:style>
  <w:style w:type="character" w:customStyle="1" w:styleId="CommentSubjectChar">
    <w:name w:val="Comment Subject Char"/>
    <w:basedOn w:val="CommentTextChar"/>
    <w:link w:val="CommentSubject"/>
    <w:uiPriority w:val="99"/>
    <w:semiHidden/>
    <w:rsid w:val="0067782D"/>
    <w:rPr>
      <w:rFonts w:ascii="Noto Sans" w:hAnsi="Noto Sans" w:cs="Noto Sans"/>
      <w:b/>
      <w:bCs/>
      <w:sz w:val="20"/>
      <w:szCs w:val="20"/>
      <w:lang w:val="en-GB"/>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D802AD"/>
    <w:pPr>
      <w:spacing w:before="0" w:after="160" w:line="240" w:lineRule="exact"/>
      <w:jc w:val="both"/>
    </w:pPr>
    <w:rPr>
      <w:rFonts w:asciiTheme="minorHAnsi" w:hAnsiTheme="minorHAnsi" w:cstheme="minorBidi"/>
      <w:sz w:val="22"/>
      <w:szCs w:val="22"/>
      <w:vertAlign w:val="superscript"/>
      <w:lang w:val="fr-CH"/>
    </w:rPr>
  </w:style>
  <w:style w:type="character" w:customStyle="1" w:styleId="ListParagraphChar">
    <w:name w:val="List Paragraph Char"/>
    <w:aliases w:val="YC Bulet Char,Primus H 3 Char,Bullet List Char,FooterText Char,List Paragraph1 Char,Colorful List Accent 1 Char,numbered Char,Paragraphe de liste1 Char,列出段落 Char,列出段落1 Char,Bulletr List Paragraph Char,List Paragraph2 Char,リスト段落1 Char"/>
    <w:link w:val="ListParagraph"/>
    <w:uiPriority w:val="34"/>
    <w:qFormat/>
    <w:locked/>
    <w:rsid w:val="00085ED1"/>
    <w:rPr>
      <w:rFonts w:ascii="Noto Sans" w:hAnsi="Noto Sans" w:cs="Noto Sans"/>
      <w:sz w:val="18"/>
      <w:szCs w:val="18"/>
      <w:lang w:val="en-GB"/>
    </w:rPr>
  </w:style>
  <w:style w:type="table" w:customStyle="1" w:styleId="GridTable4-Accent51">
    <w:name w:val="Grid Table 4 - Accent 51"/>
    <w:basedOn w:val="TableNormal"/>
    <w:next w:val="GridTable4-Accent5"/>
    <w:uiPriority w:val="49"/>
    <w:rsid w:val="005168E5"/>
    <w:pPr>
      <w:spacing w:after="0" w:line="240" w:lineRule="auto"/>
    </w:pPr>
    <w:rPr>
      <w:lang w:val="en-GB"/>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5168E5"/>
    <w:pPr>
      <w:spacing w:after="0" w:line="240" w:lineRule="auto"/>
    </w:pPr>
    <w:tblPr>
      <w:tblStyleRowBandSize w:val="1"/>
      <w:tblStyleColBandSize w:val="1"/>
      <w:tblBorders>
        <w:top w:val="single" w:sz="4" w:space="0" w:color="52FBFB" w:themeColor="accent5" w:themeTint="99"/>
        <w:left w:val="single" w:sz="4" w:space="0" w:color="52FBFB" w:themeColor="accent5" w:themeTint="99"/>
        <w:bottom w:val="single" w:sz="4" w:space="0" w:color="52FBFB" w:themeColor="accent5" w:themeTint="99"/>
        <w:right w:val="single" w:sz="4" w:space="0" w:color="52FBFB" w:themeColor="accent5" w:themeTint="99"/>
        <w:insideH w:val="single" w:sz="4" w:space="0" w:color="52FBFB" w:themeColor="accent5" w:themeTint="99"/>
        <w:insideV w:val="single" w:sz="4" w:space="0" w:color="52FBFB" w:themeColor="accent5" w:themeTint="99"/>
      </w:tblBorders>
    </w:tblPr>
    <w:tblStylePr w:type="firstRow">
      <w:rPr>
        <w:b/>
        <w:bCs/>
        <w:color w:val="FFFFFF" w:themeColor="background1"/>
      </w:rPr>
      <w:tblPr/>
      <w:tcPr>
        <w:tcBorders>
          <w:top w:val="single" w:sz="4" w:space="0" w:color="05D2D2" w:themeColor="accent5"/>
          <w:left w:val="single" w:sz="4" w:space="0" w:color="05D2D2" w:themeColor="accent5"/>
          <w:bottom w:val="single" w:sz="4" w:space="0" w:color="05D2D2" w:themeColor="accent5"/>
          <w:right w:val="single" w:sz="4" w:space="0" w:color="05D2D2" w:themeColor="accent5"/>
          <w:insideH w:val="nil"/>
          <w:insideV w:val="nil"/>
        </w:tcBorders>
        <w:shd w:val="clear" w:color="auto" w:fill="05D2D2" w:themeFill="accent5"/>
      </w:tcPr>
    </w:tblStylePr>
    <w:tblStylePr w:type="lastRow">
      <w:rPr>
        <w:b/>
        <w:bCs/>
      </w:rPr>
      <w:tblPr/>
      <w:tcPr>
        <w:tcBorders>
          <w:top w:val="double" w:sz="4" w:space="0" w:color="05D2D2" w:themeColor="accent5"/>
        </w:tcBorders>
      </w:tcPr>
    </w:tblStylePr>
    <w:tblStylePr w:type="firstCol">
      <w:rPr>
        <w:b/>
        <w:bCs/>
      </w:rPr>
    </w:tblStylePr>
    <w:tblStylePr w:type="lastCol">
      <w:rPr>
        <w:b/>
        <w:bCs/>
      </w:rPr>
    </w:tblStylePr>
    <w:tblStylePr w:type="band1Vert">
      <w:tblPr/>
      <w:tcPr>
        <w:shd w:val="clear" w:color="auto" w:fill="C5FDFD" w:themeFill="accent5" w:themeFillTint="33"/>
      </w:tcPr>
    </w:tblStylePr>
    <w:tblStylePr w:type="band1Horz">
      <w:tblPr/>
      <w:tcPr>
        <w:shd w:val="clear" w:color="auto" w:fill="C5FDFD"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4381">
      <w:bodyDiv w:val="1"/>
      <w:marLeft w:val="0"/>
      <w:marRight w:val="0"/>
      <w:marTop w:val="0"/>
      <w:marBottom w:val="0"/>
      <w:divBdr>
        <w:top w:val="none" w:sz="0" w:space="0" w:color="auto"/>
        <w:left w:val="none" w:sz="0" w:space="0" w:color="auto"/>
        <w:bottom w:val="none" w:sz="0" w:space="0" w:color="auto"/>
        <w:right w:val="none" w:sz="0" w:space="0" w:color="auto"/>
      </w:divBdr>
    </w:div>
    <w:div w:id="78984203">
      <w:bodyDiv w:val="1"/>
      <w:marLeft w:val="0"/>
      <w:marRight w:val="0"/>
      <w:marTop w:val="0"/>
      <w:marBottom w:val="0"/>
      <w:divBdr>
        <w:top w:val="none" w:sz="0" w:space="0" w:color="auto"/>
        <w:left w:val="none" w:sz="0" w:space="0" w:color="auto"/>
        <w:bottom w:val="none" w:sz="0" w:space="0" w:color="auto"/>
        <w:right w:val="none" w:sz="0" w:space="0" w:color="auto"/>
      </w:divBdr>
    </w:div>
    <w:div w:id="104153208">
      <w:bodyDiv w:val="1"/>
      <w:marLeft w:val="0"/>
      <w:marRight w:val="0"/>
      <w:marTop w:val="0"/>
      <w:marBottom w:val="0"/>
      <w:divBdr>
        <w:top w:val="none" w:sz="0" w:space="0" w:color="auto"/>
        <w:left w:val="none" w:sz="0" w:space="0" w:color="auto"/>
        <w:bottom w:val="none" w:sz="0" w:space="0" w:color="auto"/>
        <w:right w:val="none" w:sz="0" w:space="0" w:color="auto"/>
      </w:divBdr>
    </w:div>
    <w:div w:id="107047948">
      <w:bodyDiv w:val="1"/>
      <w:marLeft w:val="0"/>
      <w:marRight w:val="0"/>
      <w:marTop w:val="0"/>
      <w:marBottom w:val="0"/>
      <w:divBdr>
        <w:top w:val="none" w:sz="0" w:space="0" w:color="auto"/>
        <w:left w:val="none" w:sz="0" w:space="0" w:color="auto"/>
        <w:bottom w:val="none" w:sz="0" w:space="0" w:color="auto"/>
        <w:right w:val="none" w:sz="0" w:space="0" w:color="auto"/>
      </w:divBdr>
    </w:div>
    <w:div w:id="189300268">
      <w:bodyDiv w:val="1"/>
      <w:marLeft w:val="0"/>
      <w:marRight w:val="0"/>
      <w:marTop w:val="0"/>
      <w:marBottom w:val="0"/>
      <w:divBdr>
        <w:top w:val="none" w:sz="0" w:space="0" w:color="auto"/>
        <w:left w:val="none" w:sz="0" w:space="0" w:color="auto"/>
        <w:bottom w:val="none" w:sz="0" w:space="0" w:color="auto"/>
        <w:right w:val="none" w:sz="0" w:space="0" w:color="auto"/>
      </w:divBdr>
    </w:div>
    <w:div w:id="264965350">
      <w:bodyDiv w:val="1"/>
      <w:marLeft w:val="0"/>
      <w:marRight w:val="0"/>
      <w:marTop w:val="0"/>
      <w:marBottom w:val="0"/>
      <w:divBdr>
        <w:top w:val="none" w:sz="0" w:space="0" w:color="auto"/>
        <w:left w:val="none" w:sz="0" w:space="0" w:color="auto"/>
        <w:bottom w:val="none" w:sz="0" w:space="0" w:color="auto"/>
        <w:right w:val="none" w:sz="0" w:space="0" w:color="auto"/>
      </w:divBdr>
    </w:div>
    <w:div w:id="347610182">
      <w:bodyDiv w:val="1"/>
      <w:marLeft w:val="0"/>
      <w:marRight w:val="0"/>
      <w:marTop w:val="0"/>
      <w:marBottom w:val="0"/>
      <w:divBdr>
        <w:top w:val="none" w:sz="0" w:space="0" w:color="auto"/>
        <w:left w:val="none" w:sz="0" w:space="0" w:color="auto"/>
        <w:bottom w:val="none" w:sz="0" w:space="0" w:color="auto"/>
        <w:right w:val="none" w:sz="0" w:space="0" w:color="auto"/>
      </w:divBdr>
    </w:div>
    <w:div w:id="451092260">
      <w:bodyDiv w:val="1"/>
      <w:marLeft w:val="0"/>
      <w:marRight w:val="0"/>
      <w:marTop w:val="0"/>
      <w:marBottom w:val="0"/>
      <w:divBdr>
        <w:top w:val="none" w:sz="0" w:space="0" w:color="auto"/>
        <w:left w:val="none" w:sz="0" w:space="0" w:color="auto"/>
        <w:bottom w:val="none" w:sz="0" w:space="0" w:color="auto"/>
        <w:right w:val="none" w:sz="0" w:space="0" w:color="auto"/>
      </w:divBdr>
      <w:divsChild>
        <w:div w:id="236794617">
          <w:marLeft w:val="0"/>
          <w:marRight w:val="0"/>
          <w:marTop w:val="0"/>
          <w:marBottom w:val="0"/>
          <w:divBdr>
            <w:top w:val="none" w:sz="0" w:space="0" w:color="auto"/>
            <w:left w:val="none" w:sz="0" w:space="0" w:color="auto"/>
            <w:bottom w:val="none" w:sz="0" w:space="0" w:color="auto"/>
            <w:right w:val="none" w:sz="0" w:space="0" w:color="auto"/>
          </w:divBdr>
        </w:div>
        <w:div w:id="30418593">
          <w:marLeft w:val="0"/>
          <w:marRight w:val="0"/>
          <w:marTop w:val="0"/>
          <w:marBottom w:val="0"/>
          <w:divBdr>
            <w:top w:val="none" w:sz="0" w:space="0" w:color="auto"/>
            <w:left w:val="none" w:sz="0" w:space="0" w:color="auto"/>
            <w:bottom w:val="none" w:sz="0" w:space="0" w:color="auto"/>
            <w:right w:val="none" w:sz="0" w:space="0" w:color="auto"/>
          </w:divBdr>
        </w:div>
        <w:div w:id="205484646">
          <w:marLeft w:val="0"/>
          <w:marRight w:val="0"/>
          <w:marTop w:val="0"/>
          <w:marBottom w:val="0"/>
          <w:divBdr>
            <w:top w:val="none" w:sz="0" w:space="0" w:color="auto"/>
            <w:left w:val="none" w:sz="0" w:space="0" w:color="auto"/>
            <w:bottom w:val="none" w:sz="0" w:space="0" w:color="auto"/>
            <w:right w:val="none" w:sz="0" w:space="0" w:color="auto"/>
          </w:divBdr>
        </w:div>
        <w:div w:id="1305428219">
          <w:marLeft w:val="0"/>
          <w:marRight w:val="0"/>
          <w:marTop w:val="0"/>
          <w:marBottom w:val="0"/>
          <w:divBdr>
            <w:top w:val="none" w:sz="0" w:space="0" w:color="auto"/>
            <w:left w:val="none" w:sz="0" w:space="0" w:color="auto"/>
            <w:bottom w:val="none" w:sz="0" w:space="0" w:color="auto"/>
            <w:right w:val="none" w:sz="0" w:space="0" w:color="auto"/>
          </w:divBdr>
        </w:div>
        <w:div w:id="1857111333">
          <w:marLeft w:val="0"/>
          <w:marRight w:val="0"/>
          <w:marTop w:val="0"/>
          <w:marBottom w:val="0"/>
          <w:divBdr>
            <w:top w:val="none" w:sz="0" w:space="0" w:color="auto"/>
            <w:left w:val="none" w:sz="0" w:space="0" w:color="auto"/>
            <w:bottom w:val="none" w:sz="0" w:space="0" w:color="auto"/>
            <w:right w:val="none" w:sz="0" w:space="0" w:color="auto"/>
          </w:divBdr>
        </w:div>
        <w:div w:id="952977102">
          <w:marLeft w:val="0"/>
          <w:marRight w:val="0"/>
          <w:marTop w:val="0"/>
          <w:marBottom w:val="0"/>
          <w:divBdr>
            <w:top w:val="none" w:sz="0" w:space="0" w:color="auto"/>
            <w:left w:val="none" w:sz="0" w:space="0" w:color="auto"/>
            <w:bottom w:val="none" w:sz="0" w:space="0" w:color="auto"/>
            <w:right w:val="none" w:sz="0" w:space="0" w:color="auto"/>
          </w:divBdr>
        </w:div>
        <w:div w:id="1535071846">
          <w:marLeft w:val="0"/>
          <w:marRight w:val="0"/>
          <w:marTop w:val="0"/>
          <w:marBottom w:val="0"/>
          <w:divBdr>
            <w:top w:val="none" w:sz="0" w:space="0" w:color="auto"/>
            <w:left w:val="none" w:sz="0" w:space="0" w:color="auto"/>
            <w:bottom w:val="none" w:sz="0" w:space="0" w:color="auto"/>
            <w:right w:val="none" w:sz="0" w:space="0" w:color="auto"/>
          </w:divBdr>
        </w:div>
        <w:div w:id="630667905">
          <w:marLeft w:val="0"/>
          <w:marRight w:val="0"/>
          <w:marTop w:val="0"/>
          <w:marBottom w:val="0"/>
          <w:divBdr>
            <w:top w:val="none" w:sz="0" w:space="0" w:color="auto"/>
            <w:left w:val="none" w:sz="0" w:space="0" w:color="auto"/>
            <w:bottom w:val="none" w:sz="0" w:space="0" w:color="auto"/>
            <w:right w:val="none" w:sz="0" w:space="0" w:color="auto"/>
          </w:divBdr>
        </w:div>
        <w:div w:id="298071067">
          <w:marLeft w:val="0"/>
          <w:marRight w:val="0"/>
          <w:marTop w:val="0"/>
          <w:marBottom w:val="0"/>
          <w:divBdr>
            <w:top w:val="none" w:sz="0" w:space="0" w:color="auto"/>
            <w:left w:val="none" w:sz="0" w:space="0" w:color="auto"/>
            <w:bottom w:val="none" w:sz="0" w:space="0" w:color="auto"/>
            <w:right w:val="none" w:sz="0" w:space="0" w:color="auto"/>
          </w:divBdr>
        </w:div>
        <w:div w:id="2133749515">
          <w:marLeft w:val="0"/>
          <w:marRight w:val="0"/>
          <w:marTop w:val="0"/>
          <w:marBottom w:val="0"/>
          <w:divBdr>
            <w:top w:val="none" w:sz="0" w:space="0" w:color="auto"/>
            <w:left w:val="none" w:sz="0" w:space="0" w:color="auto"/>
            <w:bottom w:val="none" w:sz="0" w:space="0" w:color="auto"/>
            <w:right w:val="none" w:sz="0" w:space="0" w:color="auto"/>
          </w:divBdr>
        </w:div>
        <w:div w:id="598177637">
          <w:marLeft w:val="0"/>
          <w:marRight w:val="0"/>
          <w:marTop w:val="0"/>
          <w:marBottom w:val="0"/>
          <w:divBdr>
            <w:top w:val="none" w:sz="0" w:space="0" w:color="auto"/>
            <w:left w:val="none" w:sz="0" w:space="0" w:color="auto"/>
            <w:bottom w:val="none" w:sz="0" w:space="0" w:color="auto"/>
            <w:right w:val="none" w:sz="0" w:space="0" w:color="auto"/>
          </w:divBdr>
        </w:div>
        <w:div w:id="445656779">
          <w:marLeft w:val="0"/>
          <w:marRight w:val="0"/>
          <w:marTop w:val="0"/>
          <w:marBottom w:val="0"/>
          <w:divBdr>
            <w:top w:val="none" w:sz="0" w:space="0" w:color="auto"/>
            <w:left w:val="none" w:sz="0" w:space="0" w:color="auto"/>
            <w:bottom w:val="none" w:sz="0" w:space="0" w:color="auto"/>
            <w:right w:val="none" w:sz="0" w:space="0" w:color="auto"/>
          </w:divBdr>
        </w:div>
        <w:div w:id="676882571">
          <w:marLeft w:val="0"/>
          <w:marRight w:val="0"/>
          <w:marTop w:val="0"/>
          <w:marBottom w:val="0"/>
          <w:divBdr>
            <w:top w:val="none" w:sz="0" w:space="0" w:color="auto"/>
            <w:left w:val="none" w:sz="0" w:space="0" w:color="auto"/>
            <w:bottom w:val="none" w:sz="0" w:space="0" w:color="auto"/>
            <w:right w:val="none" w:sz="0" w:space="0" w:color="auto"/>
          </w:divBdr>
        </w:div>
        <w:div w:id="1305740356">
          <w:marLeft w:val="0"/>
          <w:marRight w:val="0"/>
          <w:marTop w:val="0"/>
          <w:marBottom w:val="0"/>
          <w:divBdr>
            <w:top w:val="none" w:sz="0" w:space="0" w:color="auto"/>
            <w:left w:val="none" w:sz="0" w:space="0" w:color="auto"/>
            <w:bottom w:val="none" w:sz="0" w:space="0" w:color="auto"/>
            <w:right w:val="none" w:sz="0" w:space="0" w:color="auto"/>
          </w:divBdr>
        </w:div>
        <w:div w:id="1048341332">
          <w:marLeft w:val="0"/>
          <w:marRight w:val="0"/>
          <w:marTop w:val="0"/>
          <w:marBottom w:val="0"/>
          <w:divBdr>
            <w:top w:val="none" w:sz="0" w:space="0" w:color="auto"/>
            <w:left w:val="none" w:sz="0" w:space="0" w:color="auto"/>
            <w:bottom w:val="none" w:sz="0" w:space="0" w:color="auto"/>
            <w:right w:val="none" w:sz="0" w:space="0" w:color="auto"/>
          </w:divBdr>
        </w:div>
        <w:div w:id="465506802">
          <w:marLeft w:val="0"/>
          <w:marRight w:val="0"/>
          <w:marTop w:val="0"/>
          <w:marBottom w:val="0"/>
          <w:divBdr>
            <w:top w:val="none" w:sz="0" w:space="0" w:color="auto"/>
            <w:left w:val="none" w:sz="0" w:space="0" w:color="auto"/>
            <w:bottom w:val="none" w:sz="0" w:space="0" w:color="auto"/>
            <w:right w:val="none" w:sz="0" w:space="0" w:color="auto"/>
          </w:divBdr>
        </w:div>
        <w:div w:id="1901866634">
          <w:marLeft w:val="0"/>
          <w:marRight w:val="0"/>
          <w:marTop w:val="0"/>
          <w:marBottom w:val="0"/>
          <w:divBdr>
            <w:top w:val="none" w:sz="0" w:space="0" w:color="auto"/>
            <w:left w:val="none" w:sz="0" w:space="0" w:color="auto"/>
            <w:bottom w:val="none" w:sz="0" w:space="0" w:color="auto"/>
            <w:right w:val="none" w:sz="0" w:space="0" w:color="auto"/>
          </w:divBdr>
        </w:div>
        <w:div w:id="143665375">
          <w:marLeft w:val="0"/>
          <w:marRight w:val="0"/>
          <w:marTop w:val="0"/>
          <w:marBottom w:val="0"/>
          <w:divBdr>
            <w:top w:val="none" w:sz="0" w:space="0" w:color="auto"/>
            <w:left w:val="none" w:sz="0" w:space="0" w:color="auto"/>
            <w:bottom w:val="none" w:sz="0" w:space="0" w:color="auto"/>
            <w:right w:val="none" w:sz="0" w:space="0" w:color="auto"/>
          </w:divBdr>
        </w:div>
        <w:div w:id="210461772">
          <w:marLeft w:val="0"/>
          <w:marRight w:val="0"/>
          <w:marTop w:val="0"/>
          <w:marBottom w:val="0"/>
          <w:divBdr>
            <w:top w:val="none" w:sz="0" w:space="0" w:color="auto"/>
            <w:left w:val="none" w:sz="0" w:space="0" w:color="auto"/>
            <w:bottom w:val="none" w:sz="0" w:space="0" w:color="auto"/>
            <w:right w:val="none" w:sz="0" w:space="0" w:color="auto"/>
          </w:divBdr>
        </w:div>
        <w:div w:id="1329795413">
          <w:marLeft w:val="0"/>
          <w:marRight w:val="0"/>
          <w:marTop w:val="0"/>
          <w:marBottom w:val="0"/>
          <w:divBdr>
            <w:top w:val="none" w:sz="0" w:space="0" w:color="auto"/>
            <w:left w:val="none" w:sz="0" w:space="0" w:color="auto"/>
            <w:bottom w:val="none" w:sz="0" w:space="0" w:color="auto"/>
            <w:right w:val="none" w:sz="0" w:space="0" w:color="auto"/>
          </w:divBdr>
        </w:div>
        <w:div w:id="1854951904">
          <w:marLeft w:val="0"/>
          <w:marRight w:val="0"/>
          <w:marTop w:val="0"/>
          <w:marBottom w:val="0"/>
          <w:divBdr>
            <w:top w:val="none" w:sz="0" w:space="0" w:color="auto"/>
            <w:left w:val="none" w:sz="0" w:space="0" w:color="auto"/>
            <w:bottom w:val="none" w:sz="0" w:space="0" w:color="auto"/>
            <w:right w:val="none" w:sz="0" w:space="0" w:color="auto"/>
          </w:divBdr>
        </w:div>
        <w:div w:id="529148116">
          <w:marLeft w:val="0"/>
          <w:marRight w:val="0"/>
          <w:marTop w:val="0"/>
          <w:marBottom w:val="0"/>
          <w:divBdr>
            <w:top w:val="none" w:sz="0" w:space="0" w:color="auto"/>
            <w:left w:val="none" w:sz="0" w:space="0" w:color="auto"/>
            <w:bottom w:val="none" w:sz="0" w:space="0" w:color="auto"/>
            <w:right w:val="none" w:sz="0" w:space="0" w:color="auto"/>
          </w:divBdr>
        </w:div>
        <w:div w:id="1836916784">
          <w:marLeft w:val="0"/>
          <w:marRight w:val="0"/>
          <w:marTop w:val="0"/>
          <w:marBottom w:val="0"/>
          <w:divBdr>
            <w:top w:val="none" w:sz="0" w:space="0" w:color="auto"/>
            <w:left w:val="none" w:sz="0" w:space="0" w:color="auto"/>
            <w:bottom w:val="none" w:sz="0" w:space="0" w:color="auto"/>
            <w:right w:val="none" w:sz="0" w:space="0" w:color="auto"/>
          </w:divBdr>
        </w:div>
        <w:div w:id="1491360952">
          <w:marLeft w:val="0"/>
          <w:marRight w:val="0"/>
          <w:marTop w:val="0"/>
          <w:marBottom w:val="0"/>
          <w:divBdr>
            <w:top w:val="none" w:sz="0" w:space="0" w:color="auto"/>
            <w:left w:val="none" w:sz="0" w:space="0" w:color="auto"/>
            <w:bottom w:val="none" w:sz="0" w:space="0" w:color="auto"/>
            <w:right w:val="none" w:sz="0" w:space="0" w:color="auto"/>
          </w:divBdr>
        </w:div>
        <w:div w:id="462624025">
          <w:marLeft w:val="0"/>
          <w:marRight w:val="0"/>
          <w:marTop w:val="0"/>
          <w:marBottom w:val="0"/>
          <w:divBdr>
            <w:top w:val="none" w:sz="0" w:space="0" w:color="auto"/>
            <w:left w:val="none" w:sz="0" w:space="0" w:color="auto"/>
            <w:bottom w:val="none" w:sz="0" w:space="0" w:color="auto"/>
            <w:right w:val="none" w:sz="0" w:space="0" w:color="auto"/>
          </w:divBdr>
        </w:div>
        <w:div w:id="2118019714">
          <w:marLeft w:val="0"/>
          <w:marRight w:val="0"/>
          <w:marTop w:val="0"/>
          <w:marBottom w:val="0"/>
          <w:divBdr>
            <w:top w:val="none" w:sz="0" w:space="0" w:color="auto"/>
            <w:left w:val="none" w:sz="0" w:space="0" w:color="auto"/>
            <w:bottom w:val="none" w:sz="0" w:space="0" w:color="auto"/>
            <w:right w:val="none" w:sz="0" w:space="0" w:color="auto"/>
          </w:divBdr>
        </w:div>
        <w:div w:id="335964286">
          <w:marLeft w:val="0"/>
          <w:marRight w:val="0"/>
          <w:marTop w:val="0"/>
          <w:marBottom w:val="0"/>
          <w:divBdr>
            <w:top w:val="none" w:sz="0" w:space="0" w:color="auto"/>
            <w:left w:val="none" w:sz="0" w:space="0" w:color="auto"/>
            <w:bottom w:val="none" w:sz="0" w:space="0" w:color="auto"/>
            <w:right w:val="none" w:sz="0" w:space="0" w:color="auto"/>
          </w:divBdr>
        </w:div>
        <w:div w:id="1241715809">
          <w:marLeft w:val="0"/>
          <w:marRight w:val="0"/>
          <w:marTop w:val="0"/>
          <w:marBottom w:val="0"/>
          <w:divBdr>
            <w:top w:val="none" w:sz="0" w:space="0" w:color="auto"/>
            <w:left w:val="none" w:sz="0" w:space="0" w:color="auto"/>
            <w:bottom w:val="none" w:sz="0" w:space="0" w:color="auto"/>
            <w:right w:val="none" w:sz="0" w:space="0" w:color="auto"/>
          </w:divBdr>
        </w:div>
        <w:div w:id="1820878838">
          <w:marLeft w:val="0"/>
          <w:marRight w:val="0"/>
          <w:marTop w:val="0"/>
          <w:marBottom w:val="0"/>
          <w:divBdr>
            <w:top w:val="none" w:sz="0" w:space="0" w:color="auto"/>
            <w:left w:val="none" w:sz="0" w:space="0" w:color="auto"/>
            <w:bottom w:val="none" w:sz="0" w:space="0" w:color="auto"/>
            <w:right w:val="none" w:sz="0" w:space="0" w:color="auto"/>
          </w:divBdr>
        </w:div>
        <w:div w:id="1696690469">
          <w:marLeft w:val="0"/>
          <w:marRight w:val="0"/>
          <w:marTop w:val="0"/>
          <w:marBottom w:val="0"/>
          <w:divBdr>
            <w:top w:val="none" w:sz="0" w:space="0" w:color="auto"/>
            <w:left w:val="none" w:sz="0" w:space="0" w:color="auto"/>
            <w:bottom w:val="none" w:sz="0" w:space="0" w:color="auto"/>
            <w:right w:val="none" w:sz="0" w:space="0" w:color="auto"/>
          </w:divBdr>
        </w:div>
        <w:div w:id="1396468362">
          <w:marLeft w:val="0"/>
          <w:marRight w:val="0"/>
          <w:marTop w:val="0"/>
          <w:marBottom w:val="0"/>
          <w:divBdr>
            <w:top w:val="none" w:sz="0" w:space="0" w:color="auto"/>
            <w:left w:val="none" w:sz="0" w:space="0" w:color="auto"/>
            <w:bottom w:val="none" w:sz="0" w:space="0" w:color="auto"/>
            <w:right w:val="none" w:sz="0" w:space="0" w:color="auto"/>
          </w:divBdr>
        </w:div>
        <w:div w:id="1585990720">
          <w:marLeft w:val="0"/>
          <w:marRight w:val="0"/>
          <w:marTop w:val="0"/>
          <w:marBottom w:val="0"/>
          <w:divBdr>
            <w:top w:val="none" w:sz="0" w:space="0" w:color="auto"/>
            <w:left w:val="none" w:sz="0" w:space="0" w:color="auto"/>
            <w:bottom w:val="none" w:sz="0" w:space="0" w:color="auto"/>
            <w:right w:val="none" w:sz="0" w:space="0" w:color="auto"/>
          </w:divBdr>
        </w:div>
        <w:div w:id="1476294242">
          <w:marLeft w:val="0"/>
          <w:marRight w:val="0"/>
          <w:marTop w:val="0"/>
          <w:marBottom w:val="0"/>
          <w:divBdr>
            <w:top w:val="none" w:sz="0" w:space="0" w:color="auto"/>
            <w:left w:val="none" w:sz="0" w:space="0" w:color="auto"/>
            <w:bottom w:val="none" w:sz="0" w:space="0" w:color="auto"/>
            <w:right w:val="none" w:sz="0" w:space="0" w:color="auto"/>
          </w:divBdr>
        </w:div>
        <w:div w:id="927352002">
          <w:marLeft w:val="0"/>
          <w:marRight w:val="0"/>
          <w:marTop w:val="0"/>
          <w:marBottom w:val="0"/>
          <w:divBdr>
            <w:top w:val="none" w:sz="0" w:space="0" w:color="auto"/>
            <w:left w:val="none" w:sz="0" w:space="0" w:color="auto"/>
            <w:bottom w:val="none" w:sz="0" w:space="0" w:color="auto"/>
            <w:right w:val="none" w:sz="0" w:space="0" w:color="auto"/>
          </w:divBdr>
        </w:div>
        <w:div w:id="1552768562">
          <w:marLeft w:val="0"/>
          <w:marRight w:val="0"/>
          <w:marTop w:val="0"/>
          <w:marBottom w:val="0"/>
          <w:divBdr>
            <w:top w:val="none" w:sz="0" w:space="0" w:color="auto"/>
            <w:left w:val="none" w:sz="0" w:space="0" w:color="auto"/>
            <w:bottom w:val="none" w:sz="0" w:space="0" w:color="auto"/>
            <w:right w:val="none" w:sz="0" w:space="0" w:color="auto"/>
          </w:divBdr>
        </w:div>
        <w:div w:id="1530221431">
          <w:marLeft w:val="0"/>
          <w:marRight w:val="0"/>
          <w:marTop w:val="0"/>
          <w:marBottom w:val="0"/>
          <w:divBdr>
            <w:top w:val="none" w:sz="0" w:space="0" w:color="auto"/>
            <w:left w:val="none" w:sz="0" w:space="0" w:color="auto"/>
            <w:bottom w:val="none" w:sz="0" w:space="0" w:color="auto"/>
            <w:right w:val="none" w:sz="0" w:space="0" w:color="auto"/>
          </w:divBdr>
        </w:div>
        <w:div w:id="376898057">
          <w:marLeft w:val="0"/>
          <w:marRight w:val="0"/>
          <w:marTop w:val="0"/>
          <w:marBottom w:val="0"/>
          <w:divBdr>
            <w:top w:val="none" w:sz="0" w:space="0" w:color="auto"/>
            <w:left w:val="none" w:sz="0" w:space="0" w:color="auto"/>
            <w:bottom w:val="none" w:sz="0" w:space="0" w:color="auto"/>
            <w:right w:val="none" w:sz="0" w:space="0" w:color="auto"/>
          </w:divBdr>
        </w:div>
        <w:div w:id="508184308">
          <w:marLeft w:val="0"/>
          <w:marRight w:val="0"/>
          <w:marTop w:val="0"/>
          <w:marBottom w:val="0"/>
          <w:divBdr>
            <w:top w:val="none" w:sz="0" w:space="0" w:color="auto"/>
            <w:left w:val="none" w:sz="0" w:space="0" w:color="auto"/>
            <w:bottom w:val="none" w:sz="0" w:space="0" w:color="auto"/>
            <w:right w:val="none" w:sz="0" w:space="0" w:color="auto"/>
          </w:divBdr>
        </w:div>
        <w:div w:id="339092106">
          <w:marLeft w:val="0"/>
          <w:marRight w:val="0"/>
          <w:marTop w:val="0"/>
          <w:marBottom w:val="0"/>
          <w:divBdr>
            <w:top w:val="none" w:sz="0" w:space="0" w:color="auto"/>
            <w:left w:val="none" w:sz="0" w:space="0" w:color="auto"/>
            <w:bottom w:val="none" w:sz="0" w:space="0" w:color="auto"/>
            <w:right w:val="none" w:sz="0" w:space="0" w:color="auto"/>
          </w:divBdr>
        </w:div>
        <w:div w:id="243075540">
          <w:marLeft w:val="0"/>
          <w:marRight w:val="0"/>
          <w:marTop w:val="0"/>
          <w:marBottom w:val="0"/>
          <w:divBdr>
            <w:top w:val="none" w:sz="0" w:space="0" w:color="auto"/>
            <w:left w:val="none" w:sz="0" w:space="0" w:color="auto"/>
            <w:bottom w:val="none" w:sz="0" w:space="0" w:color="auto"/>
            <w:right w:val="none" w:sz="0" w:space="0" w:color="auto"/>
          </w:divBdr>
        </w:div>
        <w:div w:id="373969229">
          <w:marLeft w:val="0"/>
          <w:marRight w:val="0"/>
          <w:marTop w:val="0"/>
          <w:marBottom w:val="0"/>
          <w:divBdr>
            <w:top w:val="none" w:sz="0" w:space="0" w:color="auto"/>
            <w:left w:val="none" w:sz="0" w:space="0" w:color="auto"/>
            <w:bottom w:val="none" w:sz="0" w:space="0" w:color="auto"/>
            <w:right w:val="none" w:sz="0" w:space="0" w:color="auto"/>
          </w:divBdr>
        </w:div>
        <w:div w:id="496656109">
          <w:marLeft w:val="0"/>
          <w:marRight w:val="0"/>
          <w:marTop w:val="0"/>
          <w:marBottom w:val="0"/>
          <w:divBdr>
            <w:top w:val="none" w:sz="0" w:space="0" w:color="auto"/>
            <w:left w:val="none" w:sz="0" w:space="0" w:color="auto"/>
            <w:bottom w:val="none" w:sz="0" w:space="0" w:color="auto"/>
            <w:right w:val="none" w:sz="0" w:space="0" w:color="auto"/>
          </w:divBdr>
        </w:div>
        <w:div w:id="1489058820">
          <w:marLeft w:val="0"/>
          <w:marRight w:val="0"/>
          <w:marTop w:val="0"/>
          <w:marBottom w:val="0"/>
          <w:divBdr>
            <w:top w:val="none" w:sz="0" w:space="0" w:color="auto"/>
            <w:left w:val="none" w:sz="0" w:space="0" w:color="auto"/>
            <w:bottom w:val="none" w:sz="0" w:space="0" w:color="auto"/>
            <w:right w:val="none" w:sz="0" w:space="0" w:color="auto"/>
          </w:divBdr>
        </w:div>
        <w:div w:id="236669227">
          <w:marLeft w:val="0"/>
          <w:marRight w:val="0"/>
          <w:marTop w:val="0"/>
          <w:marBottom w:val="0"/>
          <w:divBdr>
            <w:top w:val="none" w:sz="0" w:space="0" w:color="auto"/>
            <w:left w:val="none" w:sz="0" w:space="0" w:color="auto"/>
            <w:bottom w:val="none" w:sz="0" w:space="0" w:color="auto"/>
            <w:right w:val="none" w:sz="0" w:space="0" w:color="auto"/>
          </w:divBdr>
        </w:div>
        <w:div w:id="388766869">
          <w:marLeft w:val="0"/>
          <w:marRight w:val="0"/>
          <w:marTop w:val="0"/>
          <w:marBottom w:val="0"/>
          <w:divBdr>
            <w:top w:val="none" w:sz="0" w:space="0" w:color="auto"/>
            <w:left w:val="none" w:sz="0" w:space="0" w:color="auto"/>
            <w:bottom w:val="none" w:sz="0" w:space="0" w:color="auto"/>
            <w:right w:val="none" w:sz="0" w:space="0" w:color="auto"/>
          </w:divBdr>
        </w:div>
        <w:div w:id="138765061">
          <w:marLeft w:val="0"/>
          <w:marRight w:val="0"/>
          <w:marTop w:val="0"/>
          <w:marBottom w:val="0"/>
          <w:divBdr>
            <w:top w:val="none" w:sz="0" w:space="0" w:color="auto"/>
            <w:left w:val="none" w:sz="0" w:space="0" w:color="auto"/>
            <w:bottom w:val="none" w:sz="0" w:space="0" w:color="auto"/>
            <w:right w:val="none" w:sz="0" w:space="0" w:color="auto"/>
          </w:divBdr>
        </w:div>
        <w:div w:id="1538002288">
          <w:marLeft w:val="0"/>
          <w:marRight w:val="0"/>
          <w:marTop w:val="0"/>
          <w:marBottom w:val="0"/>
          <w:divBdr>
            <w:top w:val="none" w:sz="0" w:space="0" w:color="auto"/>
            <w:left w:val="none" w:sz="0" w:space="0" w:color="auto"/>
            <w:bottom w:val="none" w:sz="0" w:space="0" w:color="auto"/>
            <w:right w:val="none" w:sz="0" w:space="0" w:color="auto"/>
          </w:divBdr>
        </w:div>
        <w:div w:id="40902390">
          <w:marLeft w:val="0"/>
          <w:marRight w:val="0"/>
          <w:marTop w:val="0"/>
          <w:marBottom w:val="0"/>
          <w:divBdr>
            <w:top w:val="none" w:sz="0" w:space="0" w:color="auto"/>
            <w:left w:val="none" w:sz="0" w:space="0" w:color="auto"/>
            <w:bottom w:val="none" w:sz="0" w:space="0" w:color="auto"/>
            <w:right w:val="none" w:sz="0" w:space="0" w:color="auto"/>
          </w:divBdr>
        </w:div>
        <w:div w:id="1380864179">
          <w:marLeft w:val="0"/>
          <w:marRight w:val="0"/>
          <w:marTop w:val="0"/>
          <w:marBottom w:val="0"/>
          <w:divBdr>
            <w:top w:val="none" w:sz="0" w:space="0" w:color="auto"/>
            <w:left w:val="none" w:sz="0" w:space="0" w:color="auto"/>
            <w:bottom w:val="none" w:sz="0" w:space="0" w:color="auto"/>
            <w:right w:val="none" w:sz="0" w:space="0" w:color="auto"/>
          </w:divBdr>
        </w:div>
        <w:div w:id="29309773">
          <w:marLeft w:val="0"/>
          <w:marRight w:val="0"/>
          <w:marTop w:val="0"/>
          <w:marBottom w:val="0"/>
          <w:divBdr>
            <w:top w:val="none" w:sz="0" w:space="0" w:color="auto"/>
            <w:left w:val="none" w:sz="0" w:space="0" w:color="auto"/>
            <w:bottom w:val="none" w:sz="0" w:space="0" w:color="auto"/>
            <w:right w:val="none" w:sz="0" w:space="0" w:color="auto"/>
          </w:divBdr>
        </w:div>
        <w:div w:id="281107661">
          <w:marLeft w:val="0"/>
          <w:marRight w:val="0"/>
          <w:marTop w:val="0"/>
          <w:marBottom w:val="0"/>
          <w:divBdr>
            <w:top w:val="none" w:sz="0" w:space="0" w:color="auto"/>
            <w:left w:val="none" w:sz="0" w:space="0" w:color="auto"/>
            <w:bottom w:val="none" w:sz="0" w:space="0" w:color="auto"/>
            <w:right w:val="none" w:sz="0" w:space="0" w:color="auto"/>
          </w:divBdr>
        </w:div>
        <w:div w:id="1376006186">
          <w:marLeft w:val="0"/>
          <w:marRight w:val="0"/>
          <w:marTop w:val="0"/>
          <w:marBottom w:val="0"/>
          <w:divBdr>
            <w:top w:val="none" w:sz="0" w:space="0" w:color="auto"/>
            <w:left w:val="none" w:sz="0" w:space="0" w:color="auto"/>
            <w:bottom w:val="none" w:sz="0" w:space="0" w:color="auto"/>
            <w:right w:val="none" w:sz="0" w:space="0" w:color="auto"/>
          </w:divBdr>
        </w:div>
        <w:div w:id="1297878989">
          <w:marLeft w:val="0"/>
          <w:marRight w:val="0"/>
          <w:marTop w:val="0"/>
          <w:marBottom w:val="0"/>
          <w:divBdr>
            <w:top w:val="none" w:sz="0" w:space="0" w:color="auto"/>
            <w:left w:val="none" w:sz="0" w:space="0" w:color="auto"/>
            <w:bottom w:val="none" w:sz="0" w:space="0" w:color="auto"/>
            <w:right w:val="none" w:sz="0" w:space="0" w:color="auto"/>
          </w:divBdr>
        </w:div>
        <w:div w:id="928199720">
          <w:marLeft w:val="0"/>
          <w:marRight w:val="0"/>
          <w:marTop w:val="0"/>
          <w:marBottom w:val="0"/>
          <w:divBdr>
            <w:top w:val="none" w:sz="0" w:space="0" w:color="auto"/>
            <w:left w:val="none" w:sz="0" w:space="0" w:color="auto"/>
            <w:bottom w:val="none" w:sz="0" w:space="0" w:color="auto"/>
            <w:right w:val="none" w:sz="0" w:space="0" w:color="auto"/>
          </w:divBdr>
        </w:div>
        <w:div w:id="51580932">
          <w:marLeft w:val="0"/>
          <w:marRight w:val="0"/>
          <w:marTop w:val="0"/>
          <w:marBottom w:val="0"/>
          <w:divBdr>
            <w:top w:val="none" w:sz="0" w:space="0" w:color="auto"/>
            <w:left w:val="none" w:sz="0" w:space="0" w:color="auto"/>
            <w:bottom w:val="none" w:sz="0" w:space="0" w:color="auto"/>
            <w:right w:val="none" w:sz="0" w:space="0" w:color="auto"/>
          </w:divBdr>
        </w:div>
        <w:div w:id="1666784197">
          <w:marLeft w:val="0"/>
          <w:marRight w:val="0"/>
          <w:marTop w:val="0"/>
          <w:marBottom w:val="0"/>
          <w:divBdr>
            <w:top w:val="none" w:sz="0" w:space="0" w:color="auto"/>
            <w:left w:val="none" w:sz="0" w:space="0" w:color="auto"/>
            <w:bottom w:val="none" w:sz="0" w:space="0" w:color="auto"/>
            <w:right w:val="none" w:sz="0" w:space="0" w:color="auto"/>
          </w:divBdr>
        </w:div>
        <w:div w:id="1801151370">
          <w:marLeft w:val="0"/>
          <w:marRight w:val="0"/>
          <w:marTop w:val="0"/>
          <w:marBottom w:val="0"/>
          <w:divBdr>
            <w:top w:val="none" w:sz="0" w:space="0" w:color="auto"/>
            <w:left w:val="none" w:sz="0" w:space="0" w:color="auto"/>
            <w:bottom w:val="none" w:sz="0" w:space="0" w:color="auto"/>
            <w:right w:val="none" w:sz="0" w:space="0" w:color="auto"/>
          </w:divBdr>
        </w:div>
        <w:div w:id="1482232532">
          <w:marLeft w:val="0"/>
          <w:marRight w:val="0"/>
          <w:marTop w:val="0"/>
          <w:marBottom w:val="0"/>
          <w:divBdr>
            <w:top w:val="none" w:sz="0" w:space="0" w:color="auto"/>
            <w:left w:val="none" w:sz="0" w:space="0" w:color="auto"/>
            <w:bottom w:val="none" w:sz="0" w:space="0" w:color="auto"/>
            <w:right w:val="none" w:sz="0" w:space="0" w:color="auto"/>
          </w:divBdr>
        </w:div>
        <w:div w:id="1452047464">
          <w:marLeft w:val="0"/>
          <w:marRight w:val="0"/>
          <w:marTop w:val="0"/>
          <w:marBottom w:val="0"/>
          <w:divBdr>
            <w:top w:val="none" w:sz="0" w:space="0" w:color="auto"/>
            <w:left w:val="none" w:sz="0" w:space="0" w:color="auto"/>
            <w:bottom w:val="none" w:sz="0" w:space="0" w:color="auto"/>
            <w:right w:val="none" w:sz="0" w:space="0" w:color="auto"/>
          </w:divBdr>
        </w:div>
        <w:div w:id="1078137611">
          <w:marLeft w:val="0"/>
          <w:marRight w:val="0"/>
          <w:marTop w:val="0"/>
          <w:marBottom w:val="0"/>
          <w:divBdr>
            <w:top w:val="none" w:sz="0" w:space="0" w:color="auto"/>
            <w:left w:val="none" w:sz="0" w:space="0" w:color="auto"/>
            <w:bottom w:val="none" w:sz="0" w:space="0" w:color="auto"/>
            <w:right w:val="none" w:sz="0" w:space="0" w:color="auto"/>
          </w:divBdr>
        </w:div>
        <w:div w:id="276300320">
          <w:marLeft w:val="0"/>
          <w:marRight w:val="0"/>
          <w:marTop w:val="0"/>
          <w:marBottom w:val="0"/>
          <w:divBdr>
            <w:top w:val="none" w:sz="0" w:space="0" w:color="auto"/>
            <w:left w:val="none" w:sz="0" w:space="0" w:color="auto"/>
            <w:bottom w:val="none" w:sz="0" w:space="0" w:color="auto"/>
            <w:right w:val="none" w:sz="0" w:space="0" w:color="auto"/>
          </w:divBdr>
        </w:div>
        <w:div w:id="457575687">
          <w:marLeft w:val="0"/>
          <w:marRight w:val="0"/>
          <w:marTop w:val="0"/>
          <w:marBottom w:val="0"/>
          <w:divBdr>
            <w:top w:val="none" w:sz="0" w:space="0" w:color="auto"/>
            <w:left w:val="none" w:sz="0" w:space="0" w:color="auto"/>
            <w:bottom w:val="none" w:sz="0" w:space="0" w:color="auto"/>
            <w:right w:val="none" w:sz="0" w:space="0" w:color="auto"/>
          </w:divBdr>
        </w:div>
        <w:div w:id="1684940046">
          <w:marLeft w:val="0"/>
          <w:marRight w:val="0"/>
          <w:marTop w:val="0"/>
          <w:marBottom w:val="0"/>
          <w:divBdr>
            <w:top w:val="none" w:sz="0" w:space="0" w:color="auto"/>
            <w:left w:val="none" w:sz="0" w:space="0" w:color="auto"/>
            <w:bottom w:val="none" w:sz="0" w:space="0" w:color="auto"/>
            <w:right w:val="none" w:sz="0" w:space="0" w:color="auto"/>
          </w:divBdr>
        </w:div>
        <w:div w:id="348918787">
          <w:marLeft w:val="0"/>
          <w:marRight w:val="0"/>
          <w:marTop w:val="0"/>
          <w:marBottom w:val="0"/>
          <w:divBdr>
            <w:top w:val="none" w:sz="0" w:space="0" w:color="auto"/>
            <w:left w:val="none" w:sz="0" w:space="0" w:color="auto"/>
            <w:bottom w:val="none" w:sz="0" w:space="0" w:color="auto"/>
            <w:right w:val="none" w:sz="0" w:space="0" w:color="auto"/>
          </w:divBdr>
        </w:div>
        <w:div w:id="1463840995">
          <w:marLeft w:val="0"/>
          <w:marRight w:val="0"/>
          <w:marTop w:val="0"/>
          <w:marBottom w:val="0"/>
          <w:divBdr>
            <w:top w:val="none" w:sz="0" w:space="0" w:color="auto"/>
            <w:left w:val="none" w:sz="0" w:space="0" w:color="auto"/>
            <w:bottom w:val="none" w:sz="0" w:space="0" w:color="auto"/>
            <w:right w:val="none" w:sz="0" w:space="0" w:color="auto"/>
          </w:divBdr>
        </w:div>
        <w:div w:id="1597791633">
          <w:marLeft w:val="0"/>
          <w:marRight w:val="0"/>
          <w:marTop w:val="0"/>
          <w:marBottom w:val="0"/>
          <w:divBdr>
            <w:top w:val="none" w:sz="0" w:space="0" w:color="auto"/>
            <w:left w:val="none" w:sz="0" w:space="0" w:color="auto"/>
            <w:bottom w:val="none" w:sz="0" w:space="0" w:color="auto"/>
            <w:right w:val="none" w:sz="0" w:space="0" w:color="auto"/>
          </w:divBdr>
        </w:div>
        <w:div w:id="516311149">
          <w:marLeft w:val="0"/>
          <w:marRight w:val="0"/>
          <w:marTop w:val="0"/>
          <w:marBottom w:val="0"/>
          <w:divBdr>
            <w:top w:val="none" w:sz="0" w:space="0" w:color="auto"/>
            <w:left w:val="none" w:sz="0" w:space="0" w:color="auto"/>
            <w:bottom w:val="none" w:sz="0" w:space="0" w:color="auto"/>
            <w:right w:val="none" w:sz="0" w:space="0" w:color="auto"/>
          </w:divBdr>
        </w:div>
        <w:div w:id="761725834">
          <w:marLeft w:val="0"/>
          <w:marRight w:val="0"/>
          <w:marTop w:val="0"/>
          <w:marBottom w:val="0"/>
          <w:divBdr>
            <w:top w:val="none" w:sz="0" w:space="0" w:color="auto"/>
            <w:left w:val="none" w:sz="0" w:space="0" w:color="auto"/>
            <w:bottom w:val="none" w:sz="0" w:space="0" w:color="auto"/>
            <w:right w:val="none" w:sz="0" w:space="0" w:color="auto"/>
          </w:divBdr>
        </w:div>
        <w:div w:id="1344622572">
          <w:marLeft w:val="0"/>
          <w:marRight w:val="0"/>
          <w:marTop w:val="0"/>
          <w:marBottom w:val="0"/>
          <w:divBdr>
            <w:top w:val="none" w:sz="0" w:space="0" w:color="auto"/>
            <w:left w:val="none" w:sz="0" w:space="0" w:color="auto"/>
            <w:bottom w:val="none" w:sz="0" w:space="0" w:color="auto"/>
            <w:right w:val="none" w:sz="0" w:space="0" w:color="auto"/>
          </w:divBdr>
        </w:div>
        <w:div w:id="593326656">
          <w:marLeft w:val="0"/>
          <w:marRight w:val="0"/>
          <w:marTop w:val="0"/>
          <w:marBottom w:val="0"/>
          <w:divBdr>
            <w:top w:val="none" w:sz="0" w:space="0" w:color="auto"/>
            <w:left w:val="none" w:sz="0" w:space="0" w:color="auto"/>
            <w:bottom w:val="none" w:sz="0" w:space="0" w:color="auto"/>
            <w:right w:val="none" w:sz="0" w:space="0" w:color="auto"/>
          </w:divBdr>
        </w:div>
        <w:div w:id="993214784">
          <w:marLeft w:val="0"/>
          <w:marRight w:val="0"/>
          <w:marTop w:val="0"/>
          <w:marBottom w:val="0"/>
          <w:divBdr>
            <w:top w:val="none" w:sz="0" w:space="0" w:color="auto"/>
            <w:left w:val="none" w:sz="0" w:space="0" w:color="auto"/>
            <w:bottom w:val="none" w:sz="0" w:space="0" w:color="auto"/>
            <w:right w:val="none" w:sz="0" w:space="0" w:color="auto"/>
          </w:divBdr>
        </w:div>
        <w:div w:id="1346401445">
          <w:marLeft w:val="0"/>
          <w:marRight w:val="0"/>
          <w:marTop w:val="0"/>
          <w:marBottom w:val="0"/>
          <w:divBdr>
            <w:top w:val="none" w:sz="0" w:space="0" w:color="auto"/>
            <w:left w:val="none" w:sz="0" w:space="0" w:color="auto"/>
            <w:bottom w:val="none" w:sz="0" w:space="0" w:color="auto"/>
            <w:right w:val="none" w:sz="0" w:space="0" w:color="auto"/>
          </w:divBdr>
        </w:div>
        <w:div w:id="240218684">
          <w:marLeft w:val="0"/>
          <w:marRight w:val="0"/>
          <w:marTop w:val="0"/>
          <w:marBottom w:val="0"/>
          <w:divBdr>
            <w:top w:val="none" w:sz="0" w:space="0" w:color="auto"/>
            <w:left w:val="none" w:sz="0" w:space="0" w:color="auto"/>
            <w:bottom w:val="none" w:sz="0" w:space="0" w:color="auto"/>
            <w:right w:val="none" w:sz="0" w:space="0" w:color="auto"/>
          </w:divBdr>
        </w:div>
        <w:div w:id="331300113">
          <w:marLeft w:val="0"/>
          <w:marRight w:val="0"/>
          <w:marTop w:val="0"/>
          <w:marBottom w:val="0"/>
          <w:divBdr>
            <w:top w:val="none" w:sz="0" w:space="0" w:color="auto"/>
            <w:left w:val="none" w:sz="0" w:space="0" w:color="auto"/>
            <w:bottom w:val="none" w:sz="0" w:space="0" w:color="auto"/>
            <w:right w:val="none" w:sz="0" w:space="0" w:color="auto"/>
          </w:divBdr>
        </w:div>
        <w:div w:id="1242790253">
          <w:marLeft w:val="0"/>
          <w:marRight w:val="0"/>
          <w:marTop w:val="0"/>
          <w:marBottom w:val="0"/>
          <w:divBdr>
            <w:top w:val="none" w:sz="0" w:space="0" w:color="auto"/>
            <w:left w:val="none" w:sz="0" w:space="0" w:color="auto"/>
            <w:bottom w:val="none" w:sz="0" w:space="0" w:color="auto"/>
            <w:right w:val="none" w:sz="0" w:space="0" w:color="auto"/>
          </w:divBdr>
        </w:div>
        <w:div w:id="1759715143">
          <w:marLeft w:val="0"/>
          <w:marRight w:val="0"/>
          <w:marTop w:val="0"/>
          <w:marBottom w:val="0"/>
          <w:divBdr>
            <w:top w:val="none" w:sz="0" w:space="0" w:color="auto"/>
            <w:left w:val="none" w:sz="0" w:space="0" w:color="auto"/>
            <w:bottom w:val="none" w:sz="0" w:space="0" w:color="auto"/>
            <w:right w:val="none" w:sz="0" w:space="0" w:color="auto"/>
          </w:divBdr>
        </w:div>
        <w:div w:id="1939632027">
          <w:marLeft w:val="0"/>
          <w:marRight w:val="0"/>
          <w:marTop w:val="0"/>
          <w:marBottom w:val="0"/>
          <w:divBdr>
            <w:top w:val="none" w:sz="0" w:space="0" w:color="auto"/>
            <w:left w:val="none" w:sz="0" w:space="0" w:color="auto"/>
            <w:bottom w:val="none" w:sz="0" w:space="0" w:color="auto"/>
            <w:right w:val="none" w:sz="0" w:space="0" w:color="auto"/>
          </w:divBdr>
        </w:div>
        <w:div w:id="835072226">
          <w:marLeft w:val="0"/>
          <w:marRight w:val="0"/>
          <w:marTop w:val="0"/>
          <w:marBottom w:val="0"/>
          <w:divBdr>
            <w:top w:val="none" w:sz="0" w:space="0" w:color="auto"/>
            <w:left w:val="none" w:sz="0" w:space="0" w:color="auto"/>
            <w:bottom w:val="none" w:sz="0" w:space="0" w:color="auto"/>
            <w:right w:val="none" w:sz="0" w:space="0" w:color="auto"/>
          </w:divBdr>
        </w:div>
        <w:div w:id="1387069763">
          <w:marLeft w:val="0"/>
          <w:marRight w:val="0"/>
          <w:marTop w:val="0"/>
          <w:marBottom w:val="0"/>
          <w:divBdr>
            <w:top w:val="none" w:sz="0" w:space="0" w:color="auto"/>
            <w:left w:val="none" w:sz="0" w:space="0" w:color="auto"/>
            <w:bottom w:val="none" w:sz="0" w:space="0" w:color="auto"/>
            <w:right w:val="none" w:sz="0" w:space="0" w:color="auto"/>
          </w:divBdr>
        </w:div>
        <w:div w:id="2016375555">
          <w:marLeft w:val="0"/>
          <w:marRight w:val="0"/>
          <w:marTop w:val="0"/>
          <w:marBottom w:val="0"/>
          <w:divBdr>
            <w:top w:val="none" w:sz="0" w:space="0" w:color="auto"/>
            <w:left w:val="none" w:sz="0" w:space="0" w:color="auto"/>
            <w:bottom w:val="none" w:sz="0" w:space="0" w:color="auto"/>
            <w:right w:val="none" w:sz="0" w:space="0" w:color="auto"/>
          </w:divBdr>
        </w:div>
        <w:div w:id="1997342560">
          <w:marLeft w:val="0"/>
          <w:marRight w:val="0"/>
          <w:marTop w:val="0"/>
          <w:marBottom w:val="0"/>
          <w:divBdr>
            <w:top w:val="none" w:sz="0" w:space="0" w:color="auto"/>
            <w:left w:val="none" w:sz="0" w:space="0" w:color="auto"/>
            <w:bottom w:val="none" w:sz="0" w:space="0" w:color="auto"/>
            <w:right w:val="none" w:sz="0" w:space="0" w:color="auto"/>
          </w:divBdr>
        </w:div>
        <w:div w:id="1931232729">
          <w:marLeft w:val="0"/>
          <w:marRight w:val="0"/>
          <w:marTop w:val="0"/>
          <w:marBottom w:val="0"/>
          <w:divBdr>
            <w:top w:val="none" w:sz="0" w:space="0" w:color="auto"/>
            <w:left w:val="none" w:sz="0" w:space="0" w:color="auto"/>
            <w:bottom w:val="none" w:sz="0" w:space="0" w:color="auto"/>
            <w:right w:val="none" w:sz="0" w:space="0" w:color="auto"/>
          </w:divBdr>
        </w:div>
        <w:div w:id="861286107">
          <w:marLeft w:val="0"/>
          <w:marRight w:val="0"/>
          <w:marTop w:val="0"/>
          <w:marBottom w:val="0"/>
          <w:divBdr>
            <w:top w:val="none" w:sz="0" w:space="0" w:color="auto"/>
            <w:left w:val="none" w:sz="0" w:space="0" w:color="auto"/>
            <w:bottom w:val="none" w:sz="0" w:space="0" w:color="auto"/>
            <w:right w:val="none" w:sz="0" w:space="0" w:color="auto"/>
          </w:divBdr>
        </w:div>
        <w:div w:id="785195138">
          <w:marLeft w:val="0"/>
          <w:marRight w:val="0"/>
          <w:marTop w:val="0"/>
          <w:marBottom w:val="0"/>
          <w:divBdr>
            <w:top w:val="none" w:sz="0" w:space="0" w:color="auto"/>
            <w:left w:val="none" w:sz="0" w:space="0" w:color="auto"/>
            <w:bottom w:val="none" w:sz="0" w:space="0" w:color="auto"/>
            <w:right w:val="none" w:sz="0" w:space="0" w:color="auto"/>
          </w:divBdr>
        </w:div>
        <w:div w:id="908923810">
          <w:marLeft w:val="0"/>
          <w:marRight w:val="0"/>
          <w:marTop w:val="0"/>
          <w:marBottom w:val="0"/>
          <w:divBdr>
            <w:top w:val="none" w:sz="0" w:space="0" w:color="auto"/>
            <w:left w:val="none" w:sz="0" w:space="0" w:color="auto"/>
            <w:bottom w:val="none" w:sz="0" w:space="0" w:color="auto"/>
            <w:right w:val="none" w:sz="0" w:space="0" w:color="auto"/>
          </w:divBdr>
        </w:div>
        <w:div w:id="720135345">
          <w:marLeft w:val="0"/>
          <w:marRight w:val="0"/>
          <w:marTop w:val="0"/>
          <w:marBottom w:val="0"/>
          <w:divBdr>
            <w:top w:val="none" w:sz="0" w:space="0" w:color="auto"/>
            <w:left w:val="none" w:sz="0" w:space="0" w:color="auto"/>
            <w:bottom w:val="none" w:sz="0" w:space="0" w:color="auto"/>
            <w:right w:val="none" w:sz="0" w:space="0" w:color="auto"/>
          </w:divBdr>
        </w:div>
        <w:div w:id="137652053">
          <w:marLeft w:val="0"/>
          <w:marRight w:val="0"/>
          <w:marTop w:val="0"/>
          <w:marBottom w:val="0"/>
          <w:divBdr>
            <w:top w:val="none" w:sz="0" w:space="0" w:color="auto"/>
            <w:left w:val="none" w:sz="0" w:space="0" w:color="auto"/>
            <w:bottom w:val="none" w:sz="0" w:space="0" w:color="auto"/>
            <w:right w:val="none" w:sz="0" w:space="0" w:color="auto"/>
          </w:divBdr>
        </w:div>
        <w:div w:id="1326935871">
          <w:marLeft w:val="0"/>
          <w:marRight w:val="0"/>
          <w:marTop w:val="0"/>
          <w:marBottom w:val="0"/>
          <w:divBdr>
            <w:top w:val="none" w:sz="0" w:space="0" w:color="auto"/>
            <w:left w:val="none" w:sz="0" w:space="0" w:color="auto"/>
            <w:bottom w:val="none" w:sz="0" w:space="0" w:color="auto"/>
            <w:right w:val="none" w:sz="0" w:space="0" w:color="auto"/>
          </w:divBdr>
        </w:div>
        <w:div w:id="2063794882">
          <w:marLeft w:val="0"/>
          <w:marRight w:val="0"/>
          <w:marTop w:val="0"/>
          <w:marBottom w:val="0"/>
          <w:divBdr>
            <w:top w:val="none" w:sz="0" w:space="0" w:color="auto"/>
            <w:left w:val="none" w:sz="0" w:space="0" w:color="auto"/>
            <w:bottom w:val="none" w:sz="0" w:space="0" w:color="auto"/>
            <w:right w:val="none" w:sz="0" w:space="0" w:color="auto"/>
          </w:divBdr>
        </w:div>
        <w:div w:id="1577738584">
          <w:marLeft w:val="0"/>
          <w:marRight w:val="0"/>
          <w:marTop w:val="0"/>
          <w:marBottom w:val="0"/>
          <w:divBdr>
            <w:top w:val="none" w:sz="0" w:space="0" w:color="auto"/>
            <w:left w:val="none" w:sz="0" w:space="0" w:color="auto"/>
            <w:bottom w:val="none" w:sz="0" w:space="0" w:color="auto"/>
            <w:right w:val="none" w:sz="0" w:space="0" w:color="auto"/>
          </w:divBdr>
        </w:div>
        <w:div w:id="511719907">
          <w:marLeft w:val="0"/>
          <w:marRight w:val="0"/>
          <w:marTop w:val="0"/>
          <w:marBottom w:val="0"/>
          <w:divBdr>
            <w:top w:val="none" w:sz="0" w:space="0" w:color="auto"/>
            <w:left w:val="none" w:sz="0" w:space="0" w:color="auto"/>
            <w:bottom w:val="none" w:sz="0" w:space="0" w:color="auto"/>
            <w:right w:val="none" w:sz="0" w:space="0" w:color="auto"/>
          </w:divBdr>
        </w:div>
        <w:div w:id="1688022011">
          <w:marLeft w:val="0"/>
          <w:marRight w:val="0"/>
          <w:marTop w:val="0"/>
          <w:marBottom w:val="0"/>
          <w:divBdr>
            <w:top w:val="none" w:sz="0" w:space="0" w:color="auto"/>
            <w:left w:val="none" w:sz="0" w:space="0" w:color="auto"/>
            <w:bottom w:val="none" w:sz="0" w:space="0" w:color="auto"/>
            <w:right w:val="none" w:sz="0" w:space="0" w:color="auto"/>
          </w:divBdr>
        </w:div>
        <w:div w:id="1132986670">
          <w:marLeft w:val="0"/>
          <w:marRight w:val="0"/>
          <w:marTop w:val="0"/>
          <w:marBottom w:val="0"/>
          <w:divBdr>
            <w:top w:val="none" w:sz="0" w:space="0" w:color="auto"/>
            <w:left w:val="none" w:sz="0" w:space="0" w:color="auto"/>
            <w:bottom w:val="none" w:sz="0" w:space="0" w:color="auto"/>
            <w:right w:val="none" w:sz="0" w:space="0" w:color="auto"/>
          </w:divBdr>
        </w:div>
        <w:div w:id="1138688459">
          <w:marLeft w:val="0"/>
          <w:marRight w:val="0"/>
          <w:marTop w:val="0"/>
          <w:marBottom w:val="0"/>
          <w:divBdr>
            <w:top w:val="none" w:sz="0" w:space="0" w:color="auto"/>
            <w:left w:val="none" w:sz="0" w:space="0" w:color="auto"/>
            <w:bottom w:val="none" w:sz="0" w:space="0" w:color="auto"/>
            <w:right w:val="none" w:sz="0" w:space="0" w:color="auto"/>
          </w:divBdr>
        </w:div>
        <w:div w:id="1434520344">
          <w:marLeft w:val="0"/>
          <w:marRight w:val="0"/>
          <w:marTop w:val="0"/>
          <w:marBottom w:val="0"/>
          <w:divBdr>
            <w:top w:val="none" w:sz="0" w:space="0" w:color="auto"/>
            <w:left w:val="none" w:sz="0" w:space="0" w:color="auto"/>
            <w:bottom w:val="none" w:sz="0" w:space="0" w:color="auto"/>
            <w:right w:val="none" w:sz="0" w:space="0" w:color="auto"/>
          </w:divBdr>
        </w:div>
        <w:div w:id="634339012">
          <w:marLeft w:val="0"/>
          <w:marRight w:val="0"/>
          <w:marTop w:val="0"/>
          <w:marBottom w:val="0"/>
          <w:divBdr>
            <w:top w:val="none" w:sz="0" w:space="0" w:color="auto"/>
            <w:left w:val="none" w:sz="0" w:space="0" w:color="auto"/>
            <w:bottom w:val="none" w:sz="0" w:space="0" w:color="auto"/>
            <w:right w:val="none" w:sz="0" w:space="0" w:color="auto"/>
          </w:divBdr>
        </w:div>
        <w:div w:id="31620149">
          <w:marLeft w:val="0"/>
          <w:marRight w:val="0"/>
          <w:marTop w:val="0"/>
          <w:marBottom w:val="0"/>
          <w:divBdr>
            <w:top w:val="none" w:sz="0" w:space="0" w:color="auto"/>
            <w:left w:val="none" w:sz="0" w:space="0" w:color="auto"/>
            <w:bottom w:val="none" w:sz="0" w:space="0" w:color="auto"/>
            <w:right w:val="none" w:sz="0" w:space="0" w:color="auto"/>
          </w:divBdr>
        </w:div>
        <w:div w:id="752506634">
          <w:marLeft w:val="0"/>
          <w:marRight w:val="0"/>
          <w:marTop w:val="0"/>
          <w:marBottom w:val="0"/>
          <w:divBdr>
            <w:top w:val="none" w:sz="0" w:space="0" w:color="auto"/>
            <w:left w:val="none" w:sz="0" w:space="0" w:color="auto"/>
            <w:bottom w:val="none" w:sz="0" w:space="0" w:color="auto"/>
            <w:right w:val="none" w:sz="0" w:space="0" w:color="auto"/>
          </w:divBdr>
        </w:div>
        <w:div w:id="1001809893">
          <w:marLeft w:val="0"/>
          <w:marRight w:val="0"/>
          <w:marTop w:val="0"/>
          <w:marBottom w:val="0"/>
          <w:divBdr>
            <w:top w:val="none" w:sz="0" w:space="0" w:color="auto"/>
            <w:left w:val="none" w:sz="0" w:space="0" w:color="auto"/>
            <w:bottom w:val="none" w:sz="0" w:space="0" w:color="auto"/>
            <w:right w:val="none" w:sz="0" w:space="0" w:color="auto"/>
          </w:divBdr>
        </w:div>
        <w:div w:id="1920285520">
          <w:marLeft w:val="0"/>
          <w:marRight w:val="0"/>
          <w:marTop w:val="0"/>
          <w:marBottom w:val="0"/>
          <w:divBdr>
            <w:top w:val="none" w:sz="0" w:space="0" w:color="auto"/>
            <w:left w:val="none" w:sz="0" w:space="0" w:color="auto"/>
            <w:bottom w:val="none" w:sz="0" w:space="0" w:color="auto"/>
            <w:right w:val="none" w:sz="0" w:space="0" w:color="auto"/>
          </w:divBdr>
        </w:div>
        <w:div w:id="2054303124">
          <w:marLeft w:val="0"/>
          <w:marRight w:val="0"/>
          <w:marTop w:val="0"/>
          <w:marBottom w:val="0"/>
          <w:divBdr>
            <w:top w:val="none" w:sz="0" w:space="0" w:color="auto"/>
            <w:left w:val="none" w:sz="0" w:space="0" w:color="auto"/>
            <w:bottom w:val="none" w:sz="0" w:space="0" w:color="auto"/>
            <w:right w:val="none" w:sz="0" w:space="0" w:color="auto"/>
          </w:divBdr>
        </w:div>
        <w:div w:id="455369078">
          <w:marLeft w:val="0"/>
          <w:marRight w:val="0"/>
          <w:marTop w:val="0"/>
          <w:marBottom w:val="0"/>
          <w:divBdr>
            <w:top w:val="none" w:sz="0" w:space="0" w:color="auto"/>
            <w:left w:val="none" w:sz="0" w:space="0" w:color="auto"/>
            <w:bottom w:val="none" w:sz="0" w:space="0" w:color="auto"/>
            <w:right w:val="none" w:sz="0" w:space="0" w:color="auto"/>
          </w:divBdr>
        </w:div>
        <w:div w:id="125126207">
          <w:marLeft w:val="0"/>
          <w:marRight w:val="0"/>
          <w:marTop w:val="0"/>
          <w:marBottom w:val="0"/>
          <w:divBdr>
            <w:top w:val="none" w:sz="0" w:space="0" w:color="auto"/>
            <w:left w:val="none" w:sz="0" w:space="0" w:color="auto"/>
            <w:bottom w:val="none" w:sz="0" w:space="0" w:color="auto"/>
            <w:right w:val="none" w:sz="0" w:space="0" w:color="auto"/>
          </w:divBdr>
        </w:div>
        <w:div w:id="1794515144">
          <w:marLeft w:val="0"/>
          <w:marRight w:val="0"/>
          <w:marTop w:val="0"/>
          <w:marBottom w:val="0"/>
          <w:divBdr>
            <w:top w:val="none" w:sz="0" w:space="0" w:color="auto"/>
            <w:left w:val="none" w:sz="0" w:space="0" w:color="auto"/>
            <w:bottom w:val="none" w:sz="0" w:space="0" w:color="auto"/>
            <w:right w:val="none" w:sz="0" w:space="0" w:color="auto"/>
          </w:divBdr>
        </w:div>
      </w:divsChild>
    </w:div>
    <w:div w:id="583419042">
      <w:bodyDiv w:val="1"/>
      <w:marLeft w:val="0"/>
      <w:marRight w:val="0"/>
      <w:marTop w:val="0"/>
      <w:marBottom w:val="0"/>
      <w:divBdr>
        <w:top w:val="none" w:sz="0" w:space="0" w:color="auto"/>
        <w:left w:val="none" w:sz="0" w:space="0" w:color="auto"/>
        <w:bottom w:val="none" w:sz="0" w:space="0" w:color="auto"/>
        <w:right w:val="none" w:sz="0" w:space="0" w:color="auto"/>
      </w:divBdr>
    </w:div>
    <w:div w:id="689842226">
      <w:bodyDiv w:val="1"/>
      <w:marLeft w:val="0"/>
      <w:marRight w:val="0"/>
      <w:marTop w:val="0"/>
      <w:marBottom w:val="0"/>
      <w:divBdr>
        <w:top w:val="none" w:sz="0" w:space="0" w:color="auto"/>
        <w:left w:val="none" w:sz="0" w:space="0" w:color="auto"/>
        <w:bottom w:val="none" w:sz="0" w:space="0" w:color="auto"/>
        <w:right w:val="none" w:sz="0" w:space="0" w:color="auto"/>
      </w:divBdr>
    </w:div>
    <w:div w:id="736048020">
      <w:bodyDiv w:val="1"/>
      <w:marLeft w:val="0"/>
      <w:marRight w:val="0"/>
      <w:marTop w:val="0"/>
      <w:marBottom w:val="0"/>
      <w:divBdr>
        <w:top w:val="none" w:sz="0" w:space="0" w:color="auto"/>
        <w:left w:val="none" w:sz="0" w:space="0" w:color="auto"/>
        <w:bottom w:val="none" w:sz="0" w:space="0" w:color="auto"/>
        <w:right w:val="none" w:sz="0" w:space="0" w:color="auto"/>
      </w:divBdr>
    </w:div>
    <w:div w:id="752966925">
      <w:bodyDiv w:val="1"/>
      <w:marLeft w:val="0"/>
      <w:marRight w:val="0"/>
      <w:marTop w:val="0"/>
      <w:marBottom w:val="0"/>
      <w:divBdr>
        <w:top w:val="none" w:sz="0" w:space="0" w:color="auto"/>
        <w:left w:val="none" w:sz="0" w:space="0" w:color="auto"/>
        <w:bottom w:val="none" w:sz="0" w:space="0" w:color="auto"/>
        <w:right w:val="none" w:sz="0" w:space="0" w:color="auto"/>
      </w:divBdr>
    </w:div>
    <w:div w:id="851337565">
      <w:bodyDiv w:val="1"/>
      <w:marLeft w:val="0"/>
      <w:marRight w:val="0"/>
      <w:marTop w:val="0"/>
      <w:marBottom w:val="0"/>
      <w:divBdr>
        <w:top w:val="none" w:sz="0" w:space="0" w:color="auto"/>
        <w:left w:val="none" w:sz="0" w:space="0" w:color="auto"/>
        <w:bottom w:val="none" w:sz="0" w:space="0" w:color="auto"/>
        <w:right w:val="none" w:sz="0" w:space="0" w:color="auto"/>
      </w:divBdr>
    </w:div>
    <w:div w:id="866984040">
      <w:bodyDiv w:val="1"/>
      <w:marLeft w:val="0"/>
      <w:marRight w:val="0"/>
      <w:marTop w:val="0"/>
      <w:marBottom w:val="0"/>
      <w:divBdr>
        <w:top w:val="none" w:sz="0" w:space="0" w:color="auto"/>
        <w:left w:val="none" w:sz="0" w:space="0" w:color="auto"/>
        <w:bottom w:val="none" w:sz="0" w:space="0" w:color="auto"/>
        <w:right w:val="none" w:sz="0" w:space="0" w:color="auto"/>
      </w:divBdr>
    </w:div>
    <w:div w:id="869533201">
      <w:bodyDiv w:val="1"/>
      <w:marLeft w:val="0"/>
      <w:marRight w:val="0"/>
      <w:marTop w:val="0"/>
      <w:marBottom w:val="0"/>
      <w:divBdr>
        <w:top w:val="none" w:sz="0" w:space="0" w:color="auto"/>
        <w:left w:val="none" w:sz="0" w:space="0" w:color="auto"/>
        <w:bottom w:val="none" w:sz="0" w:space="0" w:color="auto"/>
        <w:right w:val="none" w:sz="0" w:space="0" w:color="auto"/>
      </w:divBdr>
    </w:div>
    <w:div w:id="883099045">
      <w:bodyDiv w:val="1"/>
      <w:marLeft w:val="0"/>
      <w:marRight w:val="0"/>
      <w:marTop w:val="0"/>
      <w:marBottom w:val="0"/>
      <w:divBdr>
        <w:top w:val="none" w:sz="0" w:space="0" w:color="auto"/>
        <w:left w:val="none" w:sz="0" w:space="0" w:color="auto"/>
        <w:bottom w:val="none" w:sz="0" w:space="0" w:color="auto"/>
        <w:right w:val="none" w:sz="0" w:space="0" w:color="auto"/>
      </w:divBdr>
    </w:div>
    <w:div w:id="985283996">
      <w:bodyDiv w:val="1"/>
      <w:marLeft w:val="0"/>
      <w:marRight w:val="0"/>
      <w:marTop w:val="0"/>
      <w:marBottom w:val="0"/>
      <w:divBdr>
        <w:top w:val="none" w:sz="0" w:space="0" w:color="auto"/>
        <w:left w:val="none" w:sz="0" w:space="0" w:color="auto"/>
        <w:bottom w:val="none" w:sz="0" w:space="0" w:color="auto"/>
        <w:right w:val="none" w:sz="0" w:space="0" w:color="auto"/>
      </w:divBdr>
    </w:div>
    <w:div w:id="1112171959">
      <w:bodyDiv w:val="1"/>
      <w:marLeft w:val="0"/>
      <w:marRight w:val="0"/>
      <w:marTop w:val="0"/>
      <w:marBottom w:val="0"/>
      <w:divBdr>
        <w:top w:val="none" w:sz="0" w:space="0" w:color="auto"/>
        <w:left w:val="none" w:sz="0" w:space="0" w:color="auto"/>
        <w:bottom w:val="none" w:sz="0" w:space="0" w:color="auto"/>
        <w:right w:val="none" w:sz="0" w:space="0" w:color="auto"/>
      </w:divBdr>
    </w:div>
    <w:div w:id="1159613511">
      <w:bodyDiv w:val="1"/>
      <w:marLeft w:val="0"/>
      <w:marRight w:val="0"/>
      <w:marTop w:val="0"/>
      <w:marBottom w:val="0"/>
      <w:divBdr>
        <w:top w:val="none" w:sz="0" w:space="0" w:color="auto"/>
        <w:left w:val="none" w:sz="0" w:space="0" w:color="auto"/>
        <w:bottom w:val="none" w:sz="0" w:space="0" w:color="auto"/>
        <w:right w:val="none" w:sz="0" w:space="0" w:color="auto"/>
      </w:divBdr>
    </w:div>
    <w:div w:id="1166285059">
      <w:bodyDiv w:val="1"/>
      <w:marLeft w:val="0"/>
      <w:marRight w:val="0"/>
      <w:marTop w:val="0"/>
      <w:marBottom w:val="0"/>
      <w:divBdr>
        <w:top w:val="none" w:sz="0" w:space="0" w:color="auto"/>
        <w:left w:val="none" w:sz="0" w:space="0" w:color="auto"/>
        <w:bottom w:val="none" w:sz="0" w:space="0" w:color="auto"/>
        <w:right w:val="none" w:sz="0" w:space="0" w:color="auto"/>
      </w:divBdr>
    </w:div>
    <w:div w:id="1184905695">
      <w:bodyDiv w:val="1"/>
      <w:marLeft w:val="0"/>
      <w:marRight w:val="0"/>
      <w:marTop w:val="0"/>
      <w:marBottom w:val="0"/>
      <w:divBdr>
        <w:top w:val="none" w:sz="0" w:space="0" w:color="auto"/>
        <w:left w:val="none" w:sz="0" w:space="0" w:color="auto"/>
        <w:bottom w:val="none" w:sz="0" w:space="0" w:color="auto"/>
        <w:right w:val="none" w:sz="0" w:space="0" w:color="auto"/>
      </w:divBdr>
    </w:div>
    <w:div w:id="1273896468">
      <w:bodyDiv w:val="1"/>
      <w:marLeft w:val="0"/>
      <w:marRight w:val="0"/>
      <w:marTop w:val="0"/>
      <w:marBottom w:val="0"/>
      <w:divBdr>
        <w:top w:val="none" w:sz="0" w:space="0" w:color="auto"/>
        <w:left w:val="none" w:sz="0" w:space="0" w:color="auto"/>
        <w:bottom w:val="none" w:sz="0" w:space="0" w:color="auto"/>
        <w:right w:val="none" w:sz="0" w:space="0" w:color="auto"/>
      </w:divBdr>
    </w:div>
    <w:div w:id="1279138159">
      <w:bodyDiv w:val="1"/>
      <w:marLeft w:val="0"/>
      <w:marRight w:val="0"/>
      <w:marTop w:val="0"/>
      <w:marBottom w:val="0"/>
      <w:divBdr>
        <w:top w:val="none" w:sz="0" w:space="0" w:color="auto"/>
        <w:left w:val="none" w:sz="0" w:space="0" w:color="auto"/>
        <w:bottom w:val="none" w:sz="0" w:space="0" w:color="auto"/>
        <w:right w:val="none" w:sz="0" w:space="0" w:color="auto"/>
      </w:divBdr>
    </w:div>
    <w:div w:id="1379860535">
      <w:bodyDiv w:val="1"/>
      <w:marLeft w:val="0"/>
      <w:marRight w:val="0"/>
      <w:marTop w:val="0"/>
      <w:marBottom w:val="0"/>
      <w:divBdr>
        <w:top w:val="none" w:sz="0" w:space="0" w:color="auto"/>
        <w:left w:val="none" w:sz="0" w:space="0" w:color="auto"/>
        <w:bottom w:val="none" w:sz="0" w:space="0" w:color="auto"/>
        <w:right w:val="none" w:sz="0" w:space="0" w:color="auto"/>
      </w:divBdr>
    </w:div>
    <w:div w:id="1413890566">
      <w:bodyDiv w:val="1"/>
      <w:marLeft w:val="0"/>
      <w:marRight w:val="0"/>
      <w:marTop w:val="0"/>
      <w:marBottom w:val="0"/>
      <w:divBdr>
        <w:top w:val="none" w:sz="0" w:space="0" w:color="auto"/>
        <w:left w:val="none" w:sz="0" w:space="0" w:color="auto"/>
        <w:bottom w:val="none" w:sz="0" w:space="0" w:color="auto"/>
        <w:right w:val="none" w:sz="0" w:space="0" w:color="auto"/>
      </w:divBdr>
    </w:div>
    <w:div w:id="1442920752">
      <w:bodyDiv w:val="1"/>
      <w:marLeft w:val="0"/>
      <w:marRight w:val="0"/>
      <w:marTop w:val="0"/>
      <w:marBottom w:val="0"/>
      <w:divBdr>
        <w:top w:val="none" w:sz="0" w:space="0" w:color="auto"/>
        <w:left w:val="none" w:sz="0" w:space="0" w:color="auto"/>
        <w:bottom w:val="none" w:sz="0" w:space="0" w:color="auto"/>
        <w:right w:val="none" w:sz="0" w:space="0" w:color="auto"/>
      </w:divBdr>
    </w:div>
    <w:div w:id="1480920405">
      <w:bodyDiv w:val="1"/>
      <w:marLeft w:val="0"/>
      <w:marRight w:val="0"/>
      <w:marTop w:val="0"/>
      <w:marBottom w:val="0"/>
      <w:divBdr>
        <w:top w:val="none" w:sz="0" w:space="0" w:color="auto"/>
        <w:left w:val="none" w:sz="0" w:space="0" w:color="auto"/>
        <w:bottom w:val="none" w:sz="0" w:space="0" w:color="auto"/>
        <w:right w:val="none" w:sz="0" w:space="0" w:color="auto"/>
      </w:divBdr>
    </w:div>
    <w:div w:id="1568805749">
      <w:bodyDiv w:val="1"/>
      <w:marLeft w:val="0"/>
      <w:marRight w:val="0"/>
      <w:marTop w:val="0"/>
      <w:marBottom w:val="0"/>
      <w:divBdr>
        <w:top w:val="none" w:sz="0" w:space="0" w:color="auto"/>
        <w:left w:val="none" w:sz="0" w:space="0" w:color="auto"/>
        <w:bottom w:val="none" w:sz="0" w:space="0" w:color="auto"/>
        <w:right w:val="none" w:sz="0" w:space="0" w:color="auto"/>
      </w:divBdr>
    </w:div>
    <w:div w:id="1599171413">
      <w:bodyDiv w:val="1"/>
      <w:marLeft w:val="0"/>
      <w:marRight w:val="0"/>
      <w:marTop w:val="0"/>
      <w:marBottom w:val="0"/>
      <w:divBdr>
        <w:top w:val="none" w:sz="0" w:space="0" w:color="auto"/>
        <w:left w:val="none" w:sz="0" w:space="0" w:color="auto"/>
        <w:bottom w:val="none" w:sz="0" w:space="0" w:color="auto"/>
        <w:right w:val="none" w:sz="0" w:space="0" w:color="auto"/>
      </w:divBdr>
    </w:div>
    <w:div w:id="1679428846">
      <w:bodyDiv w:val="1"/>
      <w:marLeft w:val="0"/>
      <w:marRight w:val="0"/>
      <w:marTop w:val="0"/>
      <w:marBottom w:val="0"/>
      <w:divBdr>
        <w:top w:val="none" w:sz="0" w:space="0" w:color="auto"/>
        <w:left w:val="none" w:sz="0" w:space="0" w:color="auto"/>
        <w:bottom w:val="none" w:sz="0" w:space="0" w:color="auto"/>
        <w:right w:val="none" w:sz="0" w:space="0" w:color="auto"/>
      </w:divBdr>
    </w:div>
    <w:div w:id="1802070588">
      <w:bodyDiv w:val="1"/>
      <w:marLeft w:val="0"/>
      <w:marRight w:val="0"/>
      <w:marTop w:val="0"/>
      <w:marBottom w:val="0"/>
      <w:divBdr>
        <w:top w:val="none" w:sz="0" w:space="0" w:color="auto"/>
        <w:left w:val="none" w:sz="0" w:space="0" w:color="auto"/>
        <w:bottom w:val="none" w:sz="0" w:space="0" w:color="auto"/>
        <w:right w:val="none" w:sz="0" w:space="0" w:color="auto"/>
      </w:divBdr>
    </w:div>
    <w:div w:id="1802306136">
      <w:bodyDiv w:val="1"/>
      <w:marLeft w:val="0"/>
      <w:marRight w:val="0"/>
      <w:marTop w:val="0"/>
      <w:marBottom w:val="0"/>
      <w:divBdr>
        <w:top w:val="none" w:sz="0" w:space="0" w:color="auto"/>
        <w:left w:val="none" w:sz="0" w:space="0" w:color="auto"/>
        <w:bottom w:val="none" w:sz="0" w:space="0" w:color="auto"/>
        <w:right w:val="none" w:sz="0" w:space="0" w:color="auto"/>
      </w:divBdr>
    </w:div>
    <w:div w:id="1873880111">
      <w:bodyDiv w:val="1"/>
      <w:marLeft w:val="0"/>
      <w:marRight w:val="0"/>
      <w:marTop w:val="0"/>
      <w:marBottom w:val="0"/>
      <w:divBdr>
        <w:top w:val="none" w:sz="0" w:space="0" w:color="auto"/>
        <w:left w:val="none" w:sz="0" w:space="0" w:color="auto"/>
        <w:bottom w:val="none" w:sz="0" w:space="0" w:color="auto"/>
        <w:right w:val="none" w:sz="0" w:space="0" w:color="auto"/>
      </w:divBdr>
    </w:div>
    <w:div w:id="194649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o.org/wcmsp5/groups/public/---ed_mas/---inter/documents/legaldocument/wcms_76875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aq-procurement@il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aq-procurement@ilo.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documents1.worldbank.org/curated/en/255111529495871846/pdf/Jobs-in-Iraq-a-primer-on-job-creation-in-the-short-term.pdf" TargetMode="External"/><Relationship Id="rId2" Type="http://schemas.openxmlformats.org/officeDocument/2006/relationships/hyperlink" Target="https://www.ilo.org/wcmsp5/groups/public/---arabstates/---ro-beirut/documents/publication/wcms_848620.pdf" TargetMode="External"/><Relationship Id="rId1" Type="http://schemas.openxmlformats.org/officeDocument/2006/relationships/hyperlink" Target="https://www.ilo.org/wcmsp5/groups/public/---arabstates/---ro-beirut/documents/publication/wcms_850359.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iloprod.sharepoint.com/ILO_OfficeTemplateLibrary/ILO%20-%20Generic%20Word%20templates/General_WordTemplate_EN.dotx" TargetMode="External"/></Relationships>
</file>

<file path=word/theme/theme1.xml><?xml version="1.0" encoding="utf-8"?>
<a:theme xmlns:a="http://schemas.openxmlformats.org/drawingml/2006/main" name="Office Theme">
  <a:themeElements>
    <a:clrScheme name="ILO_Color_Theme">
      <a:dk1>
        <a:srgbClr val="000000"/>
      </a:dk1>
      <a:lt1>
        <a:srgbClr val="FFFFFF"/>
      </a:lt1>
      <a:dk2>
        <a:srgbClr val="230050"/>
      </a:dk2>
      <a:lt2>
        <a:srgbClr val="EBF5FD"/>
      </a:lt2>
      <a:accent1>
        <a:srgbClr val="1E2DBE"/>
      </a:accent1>
      <a:accent2>
        <a:srgbClr val="FA3C4B"/>
      </a:accent2>
      <a:accent3>
        <a:srgbClr val="FFCD2D"/>
      </a:accent3>
      <a:accent4>
        <a:srgbClr val="960A55"/>
      </a:accent4>
      <a:accent5>
        <a:srgbClr val="05D2D2"/>
      </a:accent5>
      <a:accent6>
        <a:srgbClr val="8CE164"/>
      </a:accent6>
      <a:hlink>
        <a:srgbClr val="1E2DBE"/>
      </a:hlink>
      <a:folHlink>
        <a:srgbClr val="1E2DB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BD4C30DC395944933A5E7E9259EABF" ma:contentTypeVersion="3" ma:contentTypeDescription="Create a new document." ma:contentTypeScope="" ma:versionID="f87152ca58a72afac50e3aa0c1cd22c4">
  <xsd:schema xmlns:xsd="http://www.w3.org/2001/XMLSchema" xmlns:xs="http://www.w3.org/2001/XMLSchema" xmlns:p="http://schemas.microsoft.com/office/2006/metadata/properties" xmlns:ns2="58c0a5be-79f8-4b48-991d-533c9ad3e4c4" targetNamespace="http://schemas.microsoft.com/office/2006/metadata/properties" ma:root="true" ma:fieldsID="211e9159bf9a797804c8a7e05e0b8a7e" ns2:_="">
    <xsd:import namespace="58c0a5be-79f8-4b48-991d-533c9ad3e4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0a5be-79f8-4b48-991d-533c9ad3e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B72CE-EA4A-4A5B-9EAC-5A27FCE2A9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B1347D-D4AD-4E91-BE2B-02CA64E1FB8F}">
  <ds:schemaRefs>
    <ds:schemaRef ds:uri="http://schemas.openxmlformats.org/officeDocument/2006/bibliography"/>
  </ds:schemaRefs>
</ds:datastoreItem>
</file>

<file path=customXml/itemProps3.xml><?xml version="1.0" encoding="utf-8"?>
<ds:datastoreItem xmlns:ds="http://schemas.openxmlformats.org/officeDocument/2006/customXml" ds:itemID="{5088B191-C293-4613-90F6-06D7EDD340D8}">
  <ds:schemaRefs>
    <ds:schemaRef ds:uri="http://schemas.microsoft.com/sharepoint/v3/contenttype/forms"/>
  </ds:schemaRefs>
</ds:datastoreItem>
</file>

<file path=customXml/itemProps4.xml><?xml version="1.0" encoding="utf-8"?>
<ds:datastoreItem xmlns:ds="http://schemas.openxmlformats.org/officeDocument/2006/customXml" ds:itemID="{B6422410-141A-4274-9AE4-1FBFB25ED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0a5be-79f8-4b48-991d-533c9ad3e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General_WordTemplate_EN.dotx</Template>
  <TotalTime>0</TotalTime>
  <Pages>12</Pages>
  <Words>5209</Words>
  <Characters>29694</Characters>
  <Application>Microsoft Office Word</Application>
  <DocSecurity>0</DocSecurity>
  <Lines>247</Lines>
  <Paragraphs>69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ILO A4 generic document</vt:lpstr>
    </vt:vector>
  </TitlesOfParts>
  <Company>ILO</Company>
  <LinksUpToDate>false</LinksUpToDate>
  <CharactersWithSpaces>34834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Birla, Bharti</dc:creator>
  <cp:keywords/>
  <dc:description/>
  <cp:lastModifiedBy>Soroti, Zwanyadza</cp:lastModifiedBy>
  <cp:revision>55</cp:revision>
  <cp:lastPrinted>2020-04-20T12:30:00Z</cp:lastPrinted>
  <dcterms:created xsi:type="dcterms:W3CDTF">2025-04-16T08:22:00Z</dcterms:created>
  <dcterms:modified xsi:type="dcterms:W3CDTF">2025-04-16T19:00:00Z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0x010100D9BD4C30DC395944933A5E7E9259EABF</vt:lpwstr>
  </property>
</Properties>
</file>