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F79E" w14:textId="3934B556" w:rsidR="003B0485" w:rsidRDefault="00FB5B08" w:rsidP="00652FD7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en-US"/>
        </w:rPr>
      </w:pPr>
      <w:r w:rsidRPr="00921DD0">
        <w:rPr>
          <w:rFonts w:ascii="Arial" w:hAnsi="Arial" w:cs="Arial"/>
          <w:b/>
          <w:noProof w:val="0"/>
          <w:sz w:val="28"/>
          <w:szCs w:val="28"/>
          <w:lang w:val="en-US"/>
        </w:rPr>
        <w:t>Tender</w:t>
      </w:r>
      <w:r w:rsidR="001A53D4" w:rsidRPr="00921DD0">
        <w:rPr>
          <w:rFonts w:ascii="Arial" w:hAnsi="Arial" w:cs="Arial"/>
          <w:b/>
          <w:noProof w:val="0"/>
          <w:sz w:val="28"/>
          <w:szCs w:val="28"/>
          <w:lang w:val="en-US"/>
        </w:rPr>
        <w:t xml:space="preserve"> Notice</w:t>
      </w:r>
      <w:r w:rsidR="003B0485" w:rsidRPr="00921DD0">
        <w:rPr>
          <w:rFonts w:ascii="Arial" w:hAnsi="Arial" w:cs="Arial"/>
          <w:b/>
          <w:noProof w:val="0"/>
          <w:sz w:val="28"/>
          <w:szCs w:val="28"/>
          <w:lang w:val="en-US"/>
        </w:rPr>
        <w:t xml:space="preserve"> </w:t>
      </w:r>
      <w:r w:rsidR="003F6C1A" w:rsidRPr="00921DD0">
        <w:rPr>
          <w:rFonts w:ascii="Arial" w:hAnsi="Arial" w:cs="Arial"/>
          <w:b/>
          <w:noProof w:val="0"/>
          <w:sz w:val="28"/>
          <w:szCs w:val="28"/>
          <w:lang w:val="en-US"/>
        </w:rPr>
        <w:t>for</w:t>
      </w:r>
      <w:r w:rsidR="007A1445" w:rsidRPr="00921DD0">
        <w:rPr>
          <w:rFonts w:ascii="Arial" w:hAnsi="Arial" w:cs="Arial"/>
          <w:b/>
          <w:noProof w:val="0"/>
          <w:sz w:val="28"/>
          <w:szCs w:val="28"/>
          <w:lang w:val="en-US"/>
        </w:rPr>
        <w:t xml:space="preserve"> </w:t>
      </w:r>
      <w:r w:rsidR="00241C53" w:rsidRPr="00921DD0">
        <w:rPr>
          <w:rFonts w:ascii="Arial" w:hAnsi="Arial" w:cs="Arial"/>
          <w:b/>
          <w:noProof w:val="0"/>
          <w:sz w:val="28"/>
          <w:szCs w:val="28"/>
          <w:lang w:val="en-US"/>
        </w:rPr>
        <w:t>Provision of</w:t>
      </w:r>
      <w:r w:rsidR="000C61A1">
        <w:rPr>
          <w:rFonts w:ascii="Arial" w:hAnsi="Arial" w:cs="Arial"/>
          <w:b/>
          <w:noProof w:val="0"/>
          <w:sz w:val="28"/>
          <w:szCs w:val="28"/>
          <w:lang w:val="en-US"/>
        </w:rPr>
        <w:t xml:space="preserve"> </w:t>
      </w:r>
      <w:r w:rsidR="00652FD7" w:rsidRPr="00652FD7">
        <w:rPr>
          <w:rFonts w:ascii="Arial" w:hAnsi="Arial" w:cs="Arial"/>
          <w:b/>
          <w:bCs/>
          <w:noProof w:val="0"/>
          <w:sz w:val="28"/>
          <w:szCs w:val="28"/>
          <w:lang w:val="en-US"/>
        </w:rPr>
        <w:t xml:space="preserve">The Construction </w:t>
      </w:r>
      <w:r w:rsidR="00652FD7">
        <w:rPr>
          <w:rFonts w:ascii="Arial" w:hAnsi="Arial" w:cs="Arial"/>
          <w:b/>
          <w:bCs/>
          <w:noProof w:val="0"/>
          <w:sz w:val="28"/>
          <w:szCs w:val="28"/>
          <w:lang w:val="en-US"/>
        </w:rPr>
        <w:t>o</w:t>
      </w:r>
      <w:r w:rsidR="00652FD7" w:rsidRPr="00652FD7">
        <w:rPr>
          <w:rFonts w:ascii="Arial" w:hAnsi="Arial" w:cs="Arial"/>
          <w:b/>
          <w:bCs/>
          <w:noProof w:val="0"/>
          <w:sz w:val="28"/>
          <w:szCs w:val="28"/>
          <w:lang w:val="en-US"/>
        </w:rPr>
        <w:t>f The Heet Aggregation Hub Project</w:t>
      </w:r>
    </w:p>
    <w:p w14:paraId="569ADB23" w14:textId="77777777" w:rsidR="00452EB4" w:rsidRPr="00452EB4" w:rsidRDefault="00452EB4" w:rsidP="00452EB4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en-US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288"/>
        <w:gridCol w:w="6628"/>
        <w:gridCol w:w="9"/>
      </w:tblGrid>
      <w:tr w:rsidR="00D90496" w:rsidRPr="00616270" w14:paraId="4C725FE9" w14:textId="77777777" w:rsidTr="002B1715">
        <w:tc>
          <w:tcPr>
            <w:tcW w:w="2250" w:type="dxa"/>
          </w:tcPr>
          <w:p w14:paraId="3863A891" w14:textId="3E2B4A55" w:rsidR="00D90496" w:rsidRPr="00616270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616270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925" w:type="dxa"/>
            <w:gridSpan w:val="3"/>
          </w:tcPr>
          <w:p w14:paraId="7017EAE9" w14:textId="715BE2DF" w:rsidR="00D90496" w:rsidRPr="00616270" w:rsidRDefault="00E263E8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IRAQ, </w:t>
            </w:r>
            <w:r w:rsidR="00E25F0E">
              <w:rPr>
                <w:rFonts w:asciiTheme="minorBidi" w:hAnsiTheme="minorBidi"/>
                <w:sz w:val="18"/>
                <w:szCs w:val="18"/>
                <w:lang w:val="en-US"/>
              </w:rPr>
              <w:t>Baghdad</w:t>
            </w:r>
          </w:p>
          <w:p w14:paraId="4788214D" w14:textId="0852EB42" w:rsidR="00F35D89" w:rsidRPr="00616270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616270" w14:paraId="1C3396E8" w14:textId="77777777" w:rsidTr="002B1715">
        <w:tc>
          <w:tcPr>
            <w:tcW w:w="2250" w:type="dxa"/>
          </w:tcPr>
          <w:p w14:paraId="379A13F2" w14:textId="1F69A119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925" w:type="dxa"/>
            <w:gridSpan w:val="3"/>
          </w:tcPr>
          <w:p w14:paraId="12184D11" w14:textId="471155D9" w:rsidR="00AD12AF" w:rsidRPr="001A55F6" w:rsidRDefault="00E25F0E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22</w:t>
            </w:r>
            <w:r w:rsidRPr="00E25F0E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nd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April</w:t>
            </w:r>
            <w:r w:rsidR="00DB3043" w:rsidRPr="001A55F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6</w:t>
            </w:r>
          </w:p>
          <w:p w14:paraId="5983467A" w14:textId="77777777" w:rsidR="00AD12AF" w:rsidRPr="001A55F6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</w:tr>
      <w:tr w:rsidR="00AD12AF" w:rsidRPr="00616270" w14:paraId="411EF015" w14:textId="77777777" w:rsidTr="002B1715">
        <w:tc>
          <w:tcPr>
            <w:tcW w:w="2250" w:type="dxa"/>
          </w:tcPr>
          <w:p w14:paraId="5AD65EC9" w14:textId="7652448E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925" w:type="dxa"/>
            <w:gridSpan w:val="3"/>
          </w:tcPr>
          <w:p w14:paraId="47D6C4ED" w14:textId="181894D0" w:rsidR="00AD12AF" w:rsidRPr="001A55F6" w:rsidRDefault="001618B6" w:rsidP="008C7BA2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5</w:t>
            </w:r>
            <w:r w:rsidRPr="001618B6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May </w:t>
            </w:r>
            <w:r w:rsidR="001A55F6" w:rsidRPr="001A55F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202</w:t>
            </w:r>
            <w:r w:rsidR="00E25F0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6</w:t>
            </w:r>
            <w:r w:rsidR="001A55F6" w:rsidRPr="001A55F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13E7DD3C" w14:textId="7AC394A6" w:rsidR="001A55F6" w:rsidRPr="001A55F6" w:rsidRDefault="001A55F6" w:rsidP="008C7BA2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</w:tr>
      <w:tr w:rsidR="00AD12AF" w:rsidRPr="00616270" w14:paraId="379E61AA" w14:textId="77777777" w:rsidTr="002B1715">
        <w:tc>
          <w:tcPr>
            <w:tcW w:w="2250" w:type="dxa"/>
          </w:tcPr>
          <w:p w14:paraId="5AED32B0" w14:textId="2CFED9F8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925" w:type="dxa"/>
            <w:gridSpan w:val="3"/>
          </w:tcPr>
          <w:p w14:paraId="26B9CD71" w14:textId="1122F0A7" w:rsidR="006F0430" w:rsidRPr="00616270" w:rsidRDefault="009B00A8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ITC</w:t>
            </w:r>
          </w:p>
          <w:p w14:paraId="1E763365" w14:textId="19171CD5" w:rsidR="00626964" w:rsidRPr="00616270" w:rsidRDefault="00626964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616270" w14:paraId="55F88056" w14:textId="77777777" w:rsidTr="009B00A8">
        <w:trPr>
          <w:trHeight w:val="626"/>
        </w:trPr>
        <w:tc>
          <w:tcPr>
            <w:tcW w:w="2250" w:type="dxa"/>
          </w:tcPr>
          <w:p w14:paraId="5D957833" w14:textId="347A233E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925" w:type="dxa"/>
            <w:gridSpan w:val="3"/>
          </w:tcPr>
          <w:p w14:paraId="0630C1CB" w14:textId="715DFC09" w:rsidR="00AD12AF" w:rsidRPr="00EA4185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EA418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ITB/</w:t>
            </w:r>
            <w:r w:rsidR="006239B9" w:rsidRPr="00EA418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IQ/2</w:t>
            </w:r>
            <w:r w:rsidR="009B00A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6</w:t>
            </w:r>
            <w:r w:rsidRPr="00EA418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/0</w:t>
            </w:r>
            <w:r w:rsidR="005E255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</w:t>
            </w:r>
            <w:r w:rsidR="009B00A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</w:p>
          <w:p w14:paraId="58DA9E51" w14:textId="25DC0ECE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B35A26" w:rsidRPr="00616270" w14:paraId="3E72DBBF" w14:textId="77777777" w:rsidTr="002B1715">
        <w:tc>
          <w:tcPr>
            <w:tcW w:w="2250" w:type="dxa"/>
          </w:tcPr>
          <w:p w14:paraId="546B32A8" w14:textId="64B28E59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925" w:type="dxa"/>
            <w:gridSpan w:val="3"/>
          </w:tcPr>
          <w:p w14:paraId="13FD05A5" w14:textId="77777777" w:rsidR="00B35A26" w:rsidRDefault="009B00A8" w:rsidP="00B35A26">
            <w:pPr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9B00A8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Provision of The Construction of The Heet Aggregation Hub Project</w:t>
            </w:r>
          </w:p>
          <w:p w14:paraId="57B46426" w14:textId="0CEB40E2" w:rsidR="009B00A8" w:rsidRPr="00616270" w:rsidRDefault="009B00A8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B35A26" w:rsidRPr="00616270" w14:paraId="3A8C8838" w14:textId="77777777" w:rsidTr="002B1715">
        <w:tc>
          <w:tcPr>
            <w:tcW w:w="2250" w:type="dxa"/>
          </w:tcPr>
          <w:p w14:paraId="57651556" w14:textId="3158B720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925" w:type="dxa"/>
            <w:gridSpan w:val="3"/>
          </w:tcPr>
          <w:p w14:paraId="475402F3" w14:textId="01733D46" w:rsidR="00AA68C8" w:rsidRDefault="00632CF7" w:rsidP="00DB2018">
            <w:pPr>
              <w:spacing w:after="120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32CF7">
              <w:rPr>
                <w:rFonts w:asciiTheme="minorBidi" w:hAnsiTheme="minorBidi"/>
                <w:sz w:val="18"/>
                <w:szCs w:val="18"/>
                <w:lang w:val="en-US"/>
              </w:rPr>
              <w:t>The Norwegian Refugee Council (NRC) is seeking a reputable, licensed, and technically qualified contractor for the</w:t>
            </w:r>
            <w:r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Pr="00632CF7">
              <w:rPr>
                <w:rFonts w:asciiTheme="minorBidi" w:hAnsiTheme="minorBidi"/>
                <w:sz w:val="18"/>
                <w:szCs w:val="18"/>
                <w:lang w:val="en-US"/>
              </w:rPr>
              <w:t>Construction of the Heet Aggregation Hub (</w:t>
            </w:r>
            <w:proofErr w:type="spellStart"/>
            <w:r w:rsidRPr="00632CF7">
              <w:rPr>
                <w:rFonts w:asciiTheme="minorBidi" w:hAnsiTheme="minorBidi"/>
                <w:sz w:val="18"/>
                <w:szCs w:val="18"/>
                <w:lang w:val="en-US"/>
              </w:rPr>
              <w:t>Jamlon</w:t>
            </w:r>
            <w:proofErr w:type="spellEnd"/>
            <w:r w:rsidRPr="00632CF7">
              <w:rPr>
                <w:rFonts w:asciiTheme="minorBidi" w:hAnsiTheme="minorBidi"/>
                <w:sz w:val="18"/>
                <w:szCs w:val="18"/>
                <w:lang w:val="en-US"/>
              </w:rPr>
              <w:t>) in the Anbar Governorate, Heet District. This project is a critical</w:t>
            </w:r>
            <w:r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Pr="00632CF7">
              <w:rPr>
                <w:rFonts w:asciiTheme="minorBidi" w:hAnsiTheme="minorBidi"/>
                <w:sz w:val="18"/>
                <w:szCs w:val="18"/>
                <w:lang w:val="en-US"/>
              </w:rPr>
              <w:t>infrastructure initiative designed to support the local agricultural value chain by providing a centralized facility for crop</w:t>
            </w:r>
            <w:r w:rsidR="00306F07"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Pr="00632CF7">
              <w:rPr>
                <w:rFonts w:asciiTheme="minorBidi" w:hAnsiTheme="minorBidi"/>
                <w:sz w:val="18"/>
                <w:szCs w:val="18"/>
                <w:lang w:val="en-US"/>
              </w:rPr>
              <w:t>aggregation and processing. The project involves the construction of structural steel works (locally referred to as "</w:t>
            </w:r>
            <w:proofErr w:type="spellStart"/>
            <w:r w:rsidRPr="00632CF7">
              <w:rPr>
                <w:rFonts w:asciiTheme="minorBidi" w:hAnsiTheme="minorBidi"/>
                <w:sz w:val="18"/>
                <w:szCs w:val="18"/>
                <w:lang w:val="en-US"/>
              </w:rPr>
              <w:t>Jamlon"or</w:t>
            </w:r>
            <w:proofErr w:type="spellEnd"/>
            <w:r w:rsidRPr="00632CF7">
              <w:rPr>
                <w:rFonts w:asciiTheme="minorBidi" w:hAnsiTheme="minorBidi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632CF7">
              <w:rPr>
                <w:rFonts w:asciiTheme="minorBidi" w:hAnsiTheme="minorBidi"/>
                <w:sz w:val="18"/>
                <w:szCs w:val="18"/>
                <w:lang w:val="en-US"/>
              </w:rPr>
              <w:t>Alwah</w:t>
            </w:r>
            <w:proofErr w:type="spellEnd"/>
            <w:r w:rsidRPr="00632CF7">
              <w:rPr>
                <w:rFonts w:asciiTheme="minorBidi" w:hAnsiTheme="minorBidi"/>
                <w:sz w:val="18"/>
                <w:szCs w:val="18"/>
                <w:lang w:val="en-US"/>
              </w:rPr>
              <w:t>" style) and associated civil works.</w:t>
            </w:r>
          </w:p>
          <w:p w14:paraId="1F412F62" w14:textId="77777777" w:rsidR="00DB2018" w:rsidRDefault="00DB2018" w:rsidP="00DB2018">
            <w:pPr>
              <w:spacing w:after="120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  <w:p w14:paraId="2E0374D3" w14:textId="63EE482E" w:rsidR="00B35A26" w:rsidRPr="00616270" w:rsidRDefault="00B35A26" w:rsidP="00B35A26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788A3ADC" w:rsidR="00BD1DBD" w:rsidRPr="00616270" w:rsidRDefault="00BD1DBD" w:rsidP="00DB2018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BD6C08" w:rsidRPr="00616270" w14:paraId="3DF7AB89" w14:textId="77777777" w:rsidTr="002B1715">
        <w:tc>
          <w:tcPr>
            <w:tcW w:w="2250" w:type="dxa"/>
          </w:tcPr>
          <w:p w14:paraId="7AB88E24" w14:textId="580A367B" w:rsidR="00BD6C08" w:rsidRPr="00616270" w:rsidRDefault="00BD6C08" w:rsidP="00BD6C08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BD6C08" w:rsidRPr="00616270" w:rsidRDefault="00BD6C08" w:rsidP="00BD6C08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925" w:type="dxa"/>
            <w:gridSpan w:val="3"/>
          </w:tcPr>
          <w:p w14:paraId="0BE17162" w14:textId="4526AA6D" w:rsidR="00BD6C08" w:rsidRPr="00616270" w:rsidRDefault="00BD6C08" w:rsidP="00BD6C08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If your company is interested in participating in the tender, it requires you to download the Tender package, free of change, using the following</w:t>
            </w:r>
            <w:hyperlink r:id="rId11" w:history="1">
              <w:r w:rsidR="00BD1DBD" w:rsidRPr="003F06F8">
                <w:rPr>
                  <w:rStyle w:val="Hyperlink"/>
                  <w:rFonts w:asciiTheme="minorBidi" w:hAnsiTheme="minorBidi"/>
                  <w:sz w:val="18"/>
                  <w:szCs w:val="18"/>
                  <w:lang w:val="en-US"/>
                </w:rPr>
                <w:t xml:space="preserve"> </w:t>
              </w:r>
              <w:r w:rsidR="00BD1DBD" w:rsidRPr="003F06F8">
                <w:rPr>
                  <w:rStyle w:val="Hyperlink"/>
                  <w:rFonts w:asciiTheme="minorBidi" w:hAnsiTheme="minorBidi"/>
                  <w:b/>
                  <w:bCs/>
                  <w:sz w:val="18"/>
                  <w:szCs w:val="18"/>
                  <w:lang w:val="en-US"/>
                </w:rPr>
                <w:t>LINK</w:t>
              </w:r>
            </w:hyperlink>
          </w:p>
          <w:p w14:paraId="7DB727F4" w14:textId="77777777" w:rsidR="00BD6C08" w:rsidRPr="00616270" w:rsidRDefault="00BD6C08" w:rsidP="00452EB4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For registration instructions, please check the Supplier Bid Guide attached to this tender Notice</w:t>
            </w:r>
          </w:p>
          <w:p w14:paraId="361AD204" w14:textId="496D0523" w:rsidR="00452EB4" w:rsidRPr="00616270" w:rsidRDefault="00452EB4" w:rsidP="00452EB4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2B1715" w:rsidRPr="002B1715" w14:paraId="3EBC9A1B" w14:textId="77777777" w:rsidTr="00C27AA2">
        <w:trPr>
          <w:gridAfter w:val="1"/>
          <w:wAfter w:w="9" w:type="dxa"/>
        </w:trPr>
        <w:tc>
          <w:tcPr>
            <w:tcW w:w="2538" w:type="dxa"/>
            <w:gridSpan w:val="2"/>
          </w:tcPr>
          <w:p w14:paraId="691D8BB1" w14:textId="77777777" w:rsidR="002B1715" w:rsidRPr="002B1715" w:rsidRDefault="002B1715" w:rsidP="00C27AA2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2B1715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2D84E848" w14:textId="77777777" w:rsidR="002B1715" w:rsidRPr="002B1715" w:rsidRDefault="002B1715" w:rsidP="00C27AA2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2B1715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ECFE9F8" w14:textId="77777777" w:rsidR="002B1715" w:rsidRPr="002B1715" w:rsidRDefault="002B1715" w:rsidP="00C27AA2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2B1715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Pr="002B171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One-Envelope process</w:t>
            </w:r>
          </w:p>
          <w:p w14:paraId="694FCACC" w14:textId="77777777" w:rsidR="002B1715" w:rsidRPr="002B1715" w:rsidRDefault="002B1715" w:rsidP="00C27AA2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2B1715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Pr="002B1715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One-Envelop process </w:t>
            </w:r>
            <w:r w:rsidRPr="002B1715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2B1715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ITB.</w:t>
            </w:r>
          </w:p>
          <w:p w14:paraId="3523F00B" w14:textId="77777777" w:rsidR="002B1715" w:rsidRPr="002B1715" w:rsidRDefault="002B1715" w:rsidP="00C27AA2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2B1715" w:rsidRPr="002B1715" w14:paraId="4E5B9E4C" w14:textId="77777777" w:rsidTr="00C27AA2">
        <w:trPr>
          <w:gridAfter w:val="1"/>
          <w:wAfter w:w="9" w:type="dxa"/>
        </w:trPr>
        <w:tc>
          <w:tcPr>
            <w:tcW w:w="2538" w:type="dxa"/>
            <w:gridSpan w:val="2"/>
          </w:tcPr>
          <w:p w14:paraId="6470DBEB" w14:textId="77777777" w:rsidR="002B1715" w:rsidRPr="002B1715" w:rsidRDefault="002B1715" w:rsidP="00C27AA2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2B1715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58B1A59B" w14:textId="77777777" w:rsidR="002B1715" w:rsidRPr="002B1715" w:rsidRDefault="002B1715" w:rsidP="00C27AA2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322AFFFB" w14:textId="77777777" w:rsidR="002B1715" w:rsidRPr="002B1715" w:rsidRDefault="002B1715" w:rsidP="00C27AA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2B1715">
              <w:rPr>
                <w:rFonts w:asciiTheme="minorBidi" w:hAnsiTheme="minorBidi" w:cstheme="minorBidi"/>
                <w:sz w:val="18"/>
                <w:szCs w:val="18"/>
              </w:rPr>
              <w:t>The Bid, as well as all correspondence and documents relating to the Bid shall be written in English</w:t>
            </w:r>
          </w:p>
          <w:p w14:paraId="36AAFD67" w14:textId="77777777" w:rsidR="002B1715" w:rsidRPr="002B1715" w:rsidRDefault="002B1715" w:rsidP="00C27AA2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8C81B41" w14:textId="77777777" w:rsidR="002B1715" w:rsidRPr="002B1715" w:rsidRDefault="002B1715" w:rsidP="00C27AA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2B1715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</w:t>
            </w:r>
            <w:proofErr w:type="spellStart"/>
            <w:r w:rsidRPr="002B1715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2B1715">
              <w:rPr>
                <w:rFonts w:asciiTheme="minorBidi" w:hAnsiTheme="minorBidi" w:cstheme="minorBidi"/>
                <w:sz w:val="18"/>
                <w:szCs w:val="18"/>
              </w:rPr>
              <w:t xml:space="preserve"> system, and before the tender deadline expires. It will not be possible to submit your bid after the deadline or outside the </w:t>
            </w:r>
            <w:proofErr w:type="spellStart"/>
            <w:r w:rsidRPr="002B1715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2B1715">
              <w:rPr>
                <w:rFonts w:asciiTheme="minorBidi" w:hAnsiTheme="minorBidi" w:cstheme="minorBidi"/>
                <w:sz w:val="18"/>
                <w:szCs w:val="18"/>
              </w:rPr>
              <w:t xml:space="preserve"> system</w:t>
            </w:r>
          </w:p>
          <w:p w14:paraId="0FCA675B" w14:textId="77777777" w:rsidR="002B1715" w:rsidRPr="002B1715" w:rsidRDefault="002B1715" w:rsidP="00C27AA2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62EBC042" w14:textId="77777777" w:rsidR="002B1715" w:rsidRPr="002B1715" w:rsidRDefault="002B1715" w:rsidP="00C27AA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2B1715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2B171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2B1715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Pr="002B1715">
                <w:rPr>
                  <w:rStyle w:val="Hyperlink"/>
                  <w:rFonts w:asciiTheme="minorBidi" w:hAnsiTheme="minorBidi" w:cstheme="minorBidi"/>
                  <w:sz w:val="18"/>
                  <w:szCs w:val="18"/>
                </w:rPr>
                <w:t>iq.procurement@nrc.no</w:t>
              </w:r>
            </w:hyperlink>
            <w:r w:rsidRPr="002B1715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  <w:p w14:paraId="093B98A5" w14:textId="77777777" w:rsidR="002B1715" w:rsidRPr="002B1715" w:rsidRDefault="002B1715" w:rsidP="00C27AA2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2BD4B7D5" w14:textId="77777777" w:rsidR="002B1715" w:rsidRPr="002B1715" w:rsidRDefault="002B1715" w:rsidP="002B1715">
      <w:pPr>
        <w:pStyle w:val="NormalWeb"/>
        <w:jc w:val="both"/>
        <w:rPr>
          <w:rFonts w:asciiTheme="minorBidi" w:hAnsiTheme="minorBidi" w:cstheme="minorBidi"/>
          <w:i/>
          <w:iCs/>
          <w:sz w:val="18"/>
          <w:szCs w:val="18"/>
        </w:rPr>
      </w:pPr>
      <w:r w:rsidRPr="002B1715">
        <w:rPr>
          <w:rStyle w:val="Emphasis"/>
          <w:rFonts w:asciiTheme="minorBidi" w:eastAsia="Arial" w:hAnsiTheme="minorBidi" w:cstheme="minorBidi"/>
          <w:i w:val="0"/>
          <w:iCs w:val="0"/>
          <w:sz w:val="18"/>
          <w:szCs w:val="18"/>
        </w:rPr>
        <w:t>Sincerely,</w:t>
      </w:r>
    </w:p>
    <w:p w14:paraId="1A9D2146" w14:textId="77777777" w:rsidR="002B1715" w:rsidRPr="002B1715" w:rsidRDefault="002B1715" w:rsidP="002B1715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18"/>
          <w:szCs w:val="18"/>
        </w:rPr>
      </w:pPr>
      <w:r w:rsidRPr="002B1715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>NRC IRAQ Procurement Department</w:t>
      </w:r>
    </w:p>
    <w:p w14:paraId="4568277D" w14:textId="58F5CF46" w:rsidR="0014596D" w:rsidRDefault="0014596D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</w:p>
    <w:p w14:paraId="60A0C210" w14:textId="47A930FA" w:rsidR="00944C59" w:rsidRDefault="00944C59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>
        <w:rPr>
          <w:rFonts w:asciiTheme="minorBidi" w:hAnsiTheme="minorBidi" w:cstheme="minorBidi"/>
          <w:b/>
          <w:bCs/>
          <w:i/>
          <w:iCs/>
          <w:sz w:val="20"/>
          <w:szCs w:val="20"/>
        </w:rPr>
        <w:t>----------------------------------------------------------------------------------</w:t>
      </w:r>
    </w:p>
    <w:p w14:paraId="20420C0A" w14:textId="77777777" w:rsidR="00DB2018" w:rsidRPr="00DB2018" w:rsidRDefault="00DB2018" w:rsidP="00DB2018">
      <w:pPr>
        <w:rPr>
          <w:lang w:val="en-US"/>
        </w:rPr>
      </w:pPr>
    </w:p>
    <w:p w14:paraId="182C3832" w14:textId="77777777" w:rsidR="00DB2018" w:rsidRDefault="00DB2018" w:rsidP="00DB2018">
      <w:pPr>
        <w:rPr>
          <w:rFonts w:asciiTheme="minorBidi" w:eastAsia="Times New Roman" w:hAnsiTheme="minorBidi"/>
          <w:b/>
          <w:bCs/>
          <w:i/>
          <w:iCs/>
          <w:sz w:val="20"/>
          <w:szCs w:val="20"/>
          <w:lang w:val="en-US"/>
        </w:rPr>
      </w:pPr>
    </w:p>
    <w:p w14:paraId="5BDC2734" w14:textId="27D8CB16" w:rsidR="00DB2018" w:rsidRPr="00DB2018" w:rsidRDefault="00DB2018" w:rsidP="00DB2018">
      <w:pPr>
        <w:tabs>
          <w:tab w:val="left" w:pos="3434"/>
        </w:tabs>
        <w:rPr>
          <w:lang w:val="en-US"/>
        </w:rPr>
      </w:pPr>
      <w:r>
        <w:rPr>
          <w:lang w:val="en-US"/>
        </w:rPr>
        <w:tab/>
      </w:r>
    </w:p>
    <w:sectPr w:rsidR="00DB2018" w:rsidRPr="00DB2018" w:rsidSect="00944C59">
      <w:headerReference w:type="default" r:id="rId13"/>
      <w:pgSz w:w="11906" w:h="16838"/>
      <w:pgMar w:top="1417" w:right="1417" w:bottom="1134" w:left="1417" w:header="708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2B2F1" w14:textId="77777777" w:rsidR="005D2895" w:rsidRDefault="005D2895" w:rsidP="009F6CD2">
      <w:pPr>
        <w:spacing w:after="0" w:line="240" w:lineRule="auto"/>
      </w:pPr>
      <w:r>
        <w:separator/>
      </w:r>
    </w:p>
  </w:endnote>
  <w:endnote w:type="continuationSeparator" w:id="0">
    <w:p w14:paraId="7FA06D23" w14:textId="77777777" w:rsidR="005D2895" w:rsidRDefault="005D2895" w:rsidP="009F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A492F" w14:textId="77777777" w:rsidR="005D2895" w:rsidRDefault="005D2895" w:rsidP="009F6CD2">
      <w:pPr>
        <w:spacing w:after="0" w:line="240" w:lineRule="auto"/>
      </w:pPr>
      <w:r>
        <w:separator/>
      </w:r>
    </w:p>
  </w:footnote>
  <w:footnote w:type="continuationSeparator" w:id="0">
    <w:p w14:paraId="615AE13A" w14:textId="77777777" w:rsidR="005D2895" w:rsidRDefault="005D2895" w:rsidP="009F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9264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388109224" name="Picture 388109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qAUAE8rGjiwAAAA="/>
  </w:docVars>
  <w:rsids>
    <w:rsidRoot w:val="005C42EF"/>
    <w:rsid w:val="000059C7"/>
    <w:rsid w:val="00015B5D"/>
    <w:rsid w:val="00077FB9"/>
    <w:rsid w:val="00080D99"/>
    <w:rsid w:val="00082F47"/>
    <w:rsid w:val="00084CEE"/>
    <w:rsid w:val="00086466"/>
    <w:rsid w:val="000A1FE4"/>
    <w:rsid w:val="000C175E"/>
    <w:rsid w:val="000C61A1"/>
    <w:rsid w:val="000E0461"/>
    <w:rsid w:val="000E1C6B"/>
    <w:rsid w:val="000F58F1"/>
    <w:rsid w:val="000F6A58"/>
    <w:rsid w:val="00126771"/>
    <w:rsid w:val="001334C2"/>
    <w:rsid w:val="00135EC3"/>
    <w:rsid w:val="0014596D"/>
    <w:rsid w:val="001618B6"/>
    <w:rsid w:val="0017343E"/>
    <w:rsid w:val="001A53D4"/>
    <w:rsid w:val="001A55F6"/>
    <w:rsid w:val="001C67D5"/>
    <w:rsid w:val="00204BA2"/>
    <w:rsid w:val="0021390B"/>
    <w:rsid w:val="00216583"/>
    <w:rsid w:val="00217F3D"/>
    <w:rsid w:val="00227FAC"/>
    <w:rsid w:val="00241C53"/>
    <w:rsid w:val="00244CCC"/>
    <w:rsid w:val="0026713C"/>
    <w:rsid w:val="00273DA4"/>
    <w:rsid w:val="0028357A"/>
    <w:rsid w:val="002B1715"/>
    <w:rsid w:val="002B479C"/>
    <w:rsid w:val="002C5739"/>
    <w:rsid w:val="002D28D1"/>
    <w:rsid w:val="002D7F9D"/>
    <w:rsid w:val="00305CC5"/>
    <w:rsid w:val="00306F07"/>
    <w:rsid w:val="00316B69"/>
    <w:rsid w:val="00317974"/>
    <w:rsid w:val="0032098D"/>
    <w:rsid w:val="00325509"/>
    <w:rsid w:val="003409DE"/>
    <w:rsid w:val="00342864"/>
    <w:rsid w:val="003618EA"/>
    <w:rsid w:val="00370569"/>
    <w:rsid w:val="003A4731"/>
    <w:rsid w:val="003B0485"/>
    <w:rsid w:val="003B3789"/>
    <w:rsid w:val="003B4D13"/>
    <w:rsid w:val="003D2F25"/>
    <w:rsid w:val="003F06F8"/>
    <w:rsid w:val="003F6C1A"/>
    <w:rsid w:val="003F75BF"/>
    <w:rsid w:val="00417C51"/>
    <w:rsid w:val="004473BF"/>
    <w:rsid w:val="00452EB4"/>
    <w:rsid w:val="004547F1"/>
    <w:rsid w:val="004760F3"/>
    <w:rsid w:val="00491576"/>
    <w:rsid w:val="00495C4E"/>
    <w:rsid w:val="004A1D80"/>
    <w:rsid w:val="004B4E13"/>
    <w:rsid w:val="004C1BF8"/>
    <w:rsid w:val="004E68B5"/>
    <w:rsid w:val="004F4FF8"/>
    <w:rsid w:val="00501B52"/>
    <w:rsid w:val="00502381"/>
    <w:rsid w:val="00514D34"/>
    <w:rsid w:val="00516BAD"/>
    <w:rsid w:val="00571DA2"/>
    <w:rsid w:val="00574064"/>
    <w:rsid w:val="00575018"/>
    <w:rsid w:val="00595A77"/>
    <w:rsid w:val="005B3FD4"/>
    <w:rsid w:val="005B41DA"/>
    <w:rsid w:val="005C03F5"/>
    <w:rsid w:val="005C42EF"/>
    <w:rsid w:val="005D2895"/>
    <w:rsid w:val="005E2558"/>
    <w:rsid w:val="005F7B9F"/>
    <w:rsid w:val="00616270"/>
    <w:rsid w:val="006239B9"/>
    <w:rsid w:val="00626964"/>
    <w:rsid w:val="00632CF7"/>
    <w:rsid w:val="00641AB4"/>
    <w:rsid w:val="00652FD7"/>
    <w:rsid w:val="00672BA2"/>
    <w:rsid w:val="006F0430"/>
    <w:rsid w:val="00715431"/>
    <w:rsid w:val="00735EB8"/>
    <w:rsid w:val="00746B53"/>
    <w:rsid w:val="00752D31"/>
    <w:rsid w:val="00776A5E"/>
    <w:rsid w:val="00780C64"/>
    <w:rsid w:val="00782E96"/>
    <w:rsid w:val="00793442"/>
    <w:rsid w:val="007A1445"/>
    <w:rsid w:val="007A16B5"/>
    <w:rsid w:val="007C59A3"/>
    <w:rsid w:val="00804B62"/>
    <w:rsid w:val="0080556D"/>
    <w:rsid w:val="00835161"/>
    <w:rsid w:val="00842E4B"/>
    <w:rsid w:val="008641BE"/>
    <w:rsid w:val="008663C2"/>
    <w:rsid w:val="00871107"/>
    <w:rsid w:val="008A157F"/>
    <w:rsid w:val="008A35DF"/>
    <w:rsid w:val="008B4695"/>
    <w:rsid w:val="008B4E65"/>
    <w:rsid w:val="008B7988"/>
    <w:rsid w:val="008C30F2"/>
    <w:rsid w:val="008C3D56"/>
    <w:rsid w:val="008C491B"/>
    <w:rsid w:val="008C7BA2"/>
    <w:rsid w:val="008E4A24"/>
    <w:rsid w:val="008E7EC1"/>
    <w:rsid w:val="008F185F"/>
    <w:rsid w:val="00900A04"/>
    <w:rsid w:val="00921DD0"/>
    <w:rsid w:val="00930815"/>
    <w:rsid w:val="00930B04"/>
    <w:rsid w:val="00944C59"/>
    <w:rsid w:val="0095420F"/>
    <w:rsid w:val="0096235B"/>
    <w:rsid w:val="00974481"/>
    <w:rsid w:val="009B00A8"/>
    <w:rsid w:val="009B7349"/>
    <w:rsid w:val="009C0F6E"/>
    <w:rsid w:val="009D4ABA"/>
    <w:rsid w:val="009E0D9B"/>
    <w:rsid w:val="009F6CD2"/>
    <w:rsid w:val="00A14D65"/>
    <w:rsid w:val="00A307B7"/>
    <w:rsid w:val="00A45759"/>
    <w:rsid w:val="00A50E31"/>
    <w:rsid w:val="00A637F4"/>
    <w:rsid w:val="00A73CAA"/>
    <w:rsid w:val="00A90AC2"/>
    <w:rsid w:val="00A93614"/>
    <w:rsid w:val="00AA68C8"/>
    <w:rsid w:val="00AC5790"/>
    <w:rsid w:val="00AD12AF"/>
    <w:rsid w:val="00AD1B5A"/>
    <w:rsid w:val="00B02CA1"/>
    <w:rsid w:val="00B04A2F"/>
    <w:rsid w:val="00B218BD"/>
    <w:rsid w:val="00B22306"/>
    <w:rsid w:val="00B22FE6"/>
    <w:rsid w:val="00B25515"/>
    <w:rsid w:val="00B34440"/>
    <w:rsid w:val="00B359C9"/>
    <w:rsid w:val="00B35A26"/>
    <w:rsid w:val="00B85D93"/>
    <w:rsid w:val="00B92E6F"/>
    <w:rsid w:val="00B93AAA"/>
    <w:rsid w:val="00BA5CE2"/>
    <w:rsid w:val="00BD1DBD"/>
    <w:rsid w:val="00BD6C08"/>
    <w:rsid w:val="00BE622F"/>
    <w:rsid w:val="00BF4D2A"/>
    <w:rsid w:val="00C146AD"/>
    <w:rsid w:val="00C14D5A"/>
    <w:rsid w:val="00C15BCC"/>
    <w:rsid w:val="00C37F41"/>
    <w:rsid w:val="00C53A59"/>
    <w:rsid w:val="00C6109F"/>
    <w:rsid w:val="00C70119"/>
    <w:rsid w:val="00CA1BD5"/>
    <w:rsid w:val="00CA6F89"/>
    <w:rsid w:val="00CC15F2"/>
    <w:rsid w:val="00CE2E59"/>
    <w:rsid w:val="00CE5481"/>
    <w:rsid w:val="00CF0A61"/>
    <w:rsid w:val="00D35115"/>
    <w:rsid w:val="00D46C5D"/>
    <w:rsid w:val="00D525CE"/>
    <w:rsid w:val="00D630F0"/>
    <w:rsid w:val="00D87B40"/>
    <w:rsid w:val="00D90496"/>
    <w:rsid w:val="00DA4677"/>
    <w:rsid w:val="00DB2018"/>
    <w:rsid w:val="00DB3043"/>
    <w:rsid w:val="00DE2379"/>
    <w:rsid w:val="00E05346"/>
    <w:rsid w:val="00E25F0E"/>
    <w:rsid w:val="00E263E8"/>
    <w:rsid w:val="00E46E3D"/>
    <w:rsid w:val="00E56557"/>
    <w:rsid w:val="00E647CF"/>
    <w:rsid w:val="00E92C63"/>
    <w:rsid w:val="00EA00B1"/>
    <w:rsid w:val="00EA4185"/>
    <w:rsid w:val="00EB291C"/>
    <w:rsid w:val="00EB6287"/>
    <w:rsid w:val="00EF1792"/>
    <w:rsid w:val="00EF1EE2"/>
    <w:rsid w:val="00F20ACB"/>
    <w:rsid w:val="00F35D89"/>
    <w:rsid w:val="00F43001"/>
    <w:rsid w:val="00F56821"/>
    <w:rsid w:val="00F7413A"/>
    <w:rsid w:val="00F86A10"/>
    <w:rsid w:val="00F901C3"/>
    <w:rsid w:val="00FB5B08"/>
    <w:rsid w:val="00FB5B76"/>
    <w:rsid w:val="00FB70C9"/>
    <w:rsid w:val="00FD75EB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  <w:style w:type="table" w:styleId="GridTable1Light">
    <w:name w:val="Grid Table 1 Light"/>
    <w:basedOn w:val="TableNormal"/>
    <w:uiPriority w:val="46"/>
    <w:rsid w:val="00AA68C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LHST9GDril0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05c56-46b6-43cc-a7f6-53d45a38eca5">
      <Terms xmlns="http://schemas.microsoft.com/office/infopath/2007/PartnerControls"/>
    </lcf76f155ced4ddcb4097134ff3c332f>
    <TaxCatchAll xmlns="a0c9e707-e9b2-47b3-ae15-febd6d9c6f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BADEB9F794488C455A6059EDC10A" ma:contentTypeVersion="17" ma:contentTypeDescription="Create a new document." ma:contentTypeScope="" ma:versionID="43980c4f59dcb833e5d5e4d13cf4a3fc">
  <xsd:schema xmlns:xsd="http://www.w3.org/2001/XMLSchema" xmlns:xs="http://www.w3.org/2001/XMLSchema" xmlns:p="http://schemas.microsoft.com/office/2006/metadata/properties" xmlns:ns2="df605c56-46b6-43cc-a7f6-53d45a38eca5" xmlns:ns3="a0c9e707-e9b2-47b3-ae15-febd6d9c6fe6" targetNamespace="http://schemas.microsoft.com/office/2006/metadata/properties" ma:root="true" ma:fieldsID="ea29296d0a34051a8c8d0cc1f94be712" ns2:_="" ns3:_="">
    <xsd:import namespace="df605c56-46b6-43cc-a7f6-53d45a38eca5"/>
    <xsd:import namespace="a0c9e707-e9b2-47b3-ae15-febd6d9c6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5c56-46b6-43cc-a7f6-53d45a38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9e707-e9b2-47b3-ae15-febd6d9c6fe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63562c-785f-4ca9-a9dc-b67e13aed60c}" ma:internalName="TaxCatchAll" ma:showField="CatchAllData" ma:web="a0c9e707-e9b2-47b3-ae15-febd6d9c6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92D6DD-625A-44F0-85D3-3F29BD2D7C94}">
  <ds:schemaRefs>
    <ds:schemaRef ds:uri="http://schemas.microsoft.com/office/2006/metadata/properties"/>
    <ds:schemaRef ds:uri="http://schemas.microsoft.com/office/infopath/2007/PartnerControls"/>
    <ds:schemaRef ds:uri="df605c56-46b6-43cc-a7f6-53d45a38eca5"/>
    <ds:schemaRef ds:uri="a0c9e707-e9b2-47b3-ae15-febd6d9c6fe6"/>
  </ds:schemaRefs>
</ds:datastoreItem>
</file>

<file path=customXml/itemProps3.xml><?xml version="1.0" encoding="utf-8"?>
<ds:datastoreItem xmlns:ds="http://schemas.openxmlformats.org/officeDocument/2006/customXml" ds:itemID="{F243FE45-CE0A-4D97-960C-CB89E9F48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5c56-46b6-43cc-a7f6-53d45a38eca5"/>
    <ds:schemaRef ds:uri="a0c9e707-e9b2-47b3-ae15-febd6d9c6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Tara Rahman</cp:lastModifiedBy>
  <cp:revision>170</cp:revision>
  <cp:lastPrinted>2023-03-21T07:11:00Z</cp:lastPrinted>
  <dcterms:created xsi:type="dcterms:W3CDTF">2022-11-18T10:10:00Z</dcterms:created>
  <dcterms:modified xsi:type="dcterms:W3CDTF">2026-04-22T10:27:00Z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0x010100433CBADEB9F794488C455A6059EDC10A</vt:lpwstr>
  </property>
  <property fmtid="{D5CDD505-2E9C-101B-9397-08002B2CF9AE}" pid="4" name="MediaServiceImageTags">
    <vt:lpwstr/>
  </property>
</Properties>
</file>